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F6A83" w:rsidRPr="00357233" w:rsidRDefault="006512CC" w:rsidP="00357233">
      <w:pPr>
        <w:pBdr>
          <w:bottom w:val="single" w:sz="4" w:space="1" w:color="auto"/>
        </w:pBdr>
        <w:shd w:val="clear" w:color="auto" w:fill="FFFFFF"/>
        <w:spacing w:before="120"/>
        <w:ind w:left="6"/>
        <w:jc w:val="center"/>
        <w:rPr>
          <w:b/>
          <w:bCs/>
          <w:color w:val="000000"/>
          <w:spacing w:val="-3"/>
          <w:sz w:val="40"/>
          <w:szCs w:val="22"/>
        </w:rPr>
      </w:pPr>
      <w:bookmarkStart w:id="0" w:name="_GoBack"/>
      <w:bookmarkEnd w:id="0"/>
      <w:r>
        <w:rPr>
          <w:b/>
          <w:bCs/>
          <w:color w:val="000000"/>
          <w:spacing w:val="-3"/>
          <w:sz w:val="40"/>
          <w:szCs w:val="22"/>
        </w:rPr>
        <w:t>MEZIVLÁ</w:t>
      </w:r>
      <w:r w:rsidR="004F6A83" w:rsidRPr="00357233">
        <w:rPr>
          <w:b/>
          <w:bCs/>
          <w:color w:val="000000"/>
          <w:spacing w:val="-3"/>
          <w:sz w:val="40"/>
          <w:szCs w:val="22"/>
        </w:rPr>
        <w:t>DNI PANEL PRO ZM</w:t>
      </w:r>
      <w:r w:rsidR="004F6A83" w:rsidRPr="00357233">
        <w:rPr>
          <w:rFonts w:hint="eastAsia"/>
          <w:b/>
          <w:bCs/>
          <w:color w:val="000000"/>
          <w:spacing w:val="-3"/>
          <w:sz w:val="40"/>
          <w:szCs w:val="22"/>
        </w:rPr>
        <w:t>Ě</w:t>
      </w:r>
      <w:r w:rsidR="004F6A83" w:rsidRPr="00357233">
        <w:rPr>
          <w:b/>
          <w:bCs/>
          <w:color w:val="000000"/>
          <w:spacing w:val="-3"/>
          <w:sz w:val="40"/>
          <w:szCs w:val="22"/>
        </w:rPr>
        <w:t>N</w:t>
      </w:r>
      <w:r>
        <w:rPr>
          <w:b/>
          <w:bCs/>
          <w:color w:val="000000"/>
          <w:spacing w:val="-3"/>
          <w:sz w:val="40"/>
          <w:szCs w:val="22"/>
        </w:rPr>
        <w:t>U</w:t>
      </w:r>
      <w:r w:rsidR="004F6A83" w:rsidRPr="00357233">
        <w:rPr>
          <w:b/>
          <w:bCs/>
          <w:color w:val="000000"/>
          <w:spacing w:val="-3"/>
          <w:sz w:val="40"/>
          <w:szCs w:val="22"/>
        </w:rPr>
        <w:t xml:space="preserve"> KLIMATU</w:t>
      </w:r>
    </w:p>
    <w:p w:rsidR="004F6A83" w:rsidRPr="00357233" w:rsidRDefault="004F6A83" w:rsidP="00357233">
      <w:pPr>
        <w:pBdr>
          <w:bottom w:val="single" w:sz="4" w:space="1" w:color="auto"/>
        </w:pBdr>
        <w:shd w:val="clear" w:color="auto" w:fill="FFFFFF"/>
        <w:spacing w:before="120"/>
        <w:ind w:left="6"/>
        <w:jc w:val="center"/>
        <w:rPr>
          <w:b/>
          <w:bCs/>
          <w:color w:val="000000"/>
          <w:spacing w:val="-3"/>
          <w:sz w:val="32"/>
          <w:szCs w:val="32"/>
        </w:rPr>
      </w:pPr>
    </w:p>
    <w:p w:rsidR="004F6A83" w:rsidRDefault="00357233" w:rsidP="00357233">
      <w:pPr>
        <w:pBdr>
          <w:bottom w:val="single" w:sz="4" w:space="1" w:color="auto"/>
        </w:pBdr>
        <w:shd w:val="clear" w:color="auto" w:fill="FFFFFF"/>
        <w:spacing w:before="120"/>
        <w:ind w:left="6"/>
        <w:jc w:val="center"/>
        <w:rPr>
          <w:b/>
          <w:bCs/>
          <w:color w:val="000000"/>
          <w:spacing w:val="-3"/>
          <w:sz w:val="40"/>
          <w:szCs w:val="22"/>
        </w:rPr>
      </w:pPr>
      <w:r w:rsidRPr="004F6A83">
        <w:rPr>
          <w:b/>
          <w:bCs/>
          <w:color w:val="000000"/>
          <w:spacing w:val="-3"/>
          <w:sz w:val="40"/>
          <w:szCs w:val="22"/>
        </w:rPr>
        <w:t>Fyzikální</w:t>
      </w:r>
      <w:r w:rsidR="004F6A83" w:rsidRPr="004F6A83">
        <w:rPr>
          <w:b/>
          <w:bCs/>
          <w:color w:val="000000"/>
          <w:spacing w:val="-3"/>
          <w:sz w:val="40"/>
          <w:szCs w:val="22"/>
        </w:rPr>
        <w:t xml:space="preserve"> </w:t>
      </w:r>
      <w:r w:rsidRPr="004F6A83">
        <w:rPr>
          <w:b/>
          <w:bCs/>
          <w:color w:val="000000"/>
          <w:spacing w:val="-3"/>
          <w:sz w:val="40"/>
          <w:szCs w:val="22"/>
        </w:rPr>
        <w:t>základy</w:t>
      </w:r>
    </w:p>
    <w:p w:rsidR="00357233" w:rsidRPr="00357233" w:rsidRDefault="00357233" w:rsidP="00357233">
      <w:pPr>
        <w:pBdr>
          <w:bottom w:val="single" w:sz="4" w:space="1" w:color="auto"/>
        </w:pBdr>
        <w:shd w:val="clear" w:color="auto" w:fill="FFFFFF"/>
        <w:spacing w:before="120"/>
        <w:ind w:left="6"/>
        <w:jc w:val="center"/>
        <w:rPr>
          <w:b/>
          <w:bCs/>
          <w:color w:val="000000"/>
          <w:spacing w:val="-3"/>
          <w:sz w:val="32"/>
          <w:szCs w:val="32"/>
        </w:rPr>
      </w:pPr>
    </w:p>
    <w:p w:rsidR="004F6A83" w:rsidRPr="004F6A83" w:rsidRDefault="00357233" w:rsidP="00357233">
      <w:pPr>
        <w:pBdr>
          <w:bottom w:val="single" w:sz="4" w:space="1" w:color="auto"/>
        </w:pBdr>
        <w:shd w:val="clear" w:color="auto" w:fill="FFFFFF"/>
        <w:spacing w:before="120"/>
        <w:ind w:left="6"/>
        <w:jc w:val="center"/>
        <w:rPr>
          <w:bCs/>
          <w:color w:val="000000"/>
          <w:spacing w:val="-3"/>
          <w:sz w:val="28"/>
          <w:szCs w:val="28"/>
        </w:rPr>
      </w:pPr>
      <w:r w:rsidRPr="004F6A83">
        <w:rPr>
          <w:bCs/>
          <w:color w:val="000000"/>
          <w:spacing w:val="-3"/>
          <w:sz w:val="28"/>
          <w:szCs w:val="28"/>
        </w:rPr>
        <w:t>Příspěvek</w:t>
      </w:r>
      <w:r w:rsidR="004F6A83" w:rsidRPr="004F6A83">
        <w:rPr>
          <w:bCs/>
          <w:color w:val="000000"/>
          <w:spacing w:val="-3"/>
          <w:sz w:val="28"/>
          <w:szCs w:val="28"/>
        </w:rPr>
        <w:t xml:space="preserve"> </w:t>
      </w:r>
      <w:r w:rsidRPr="004F6A83">
        <w:rPr>
          <w:bCs/>
          <w:color w:val="000000"/>
          <w:spacing w:val="-3"/>
          <w:sz w:val="28"/>
          <w:szCs w:val="28"/>
        </w:rPr>
        <w:t>Pracovní</w:t>
      </w:r>
      <w:r w:rsidR="004F6A83" w:rsidRPr="004F6A83">
        <w:rPr>
          <w:bCs/>
          <w:color w:val="000000"/>
          <w:spacing w:val="-3"/>
          <w:sz w:val="28"/>
          <w:szCs w:val="28"/>
        </w:rPr>
        <w:t xml:space="preserve"> skupiny I</w:t>
      </w:r>
      <w:r>
        <w:rPr>
          <w:bCs/>
          <w:color w:val="000000"/>
          <w:spacing w:val="-3"/>
          <w:sz w:val="28"/>
          <w:szCs w:val="28"/>
        </w:rPr>
        <w:t xml:space="preserve"> </w:t>
      </w:r>
      <w:r w:rsidR="004F6A83" w:rsidRPr="004F6A83">
        <w:rPr>
          <w:bCs/>
          <w:color w:val="000000"/>
          <w:spacing w:val="-3"/>
          <w:sz w:val="28"/>
          <w:szCs w:val="28"/>
        </w:rPr>
        <w:t xml:space="preserve">k </w:t>
      </w:r>
      <w:r w:rsidR="008A2C17">
        <w:rPr>
          <w:bCs/>
          <w:color w:val="000000"/>
          <w:spacing w:val="-3"/>
          <w:sz w:val="28"/>
          <w:szCs w:val="28"/>
        </w:rPr>
        <w:t>Pá</w:t>
      </w:r>
      <w:r w:rsidRPr="004F6A83">
        <w:rPr>
          <w:bCs/>
          <w:color w:val="000000"/>
          <w:spacing w:val="-3"/>
          <w:sz w:val="28"/>
          <w:szCs w:val="28"/>
        </w:rPr>
        <w:t>té</w:t>
      </w:r>
      <w:r w:rsidR="004F6A83" w:rsidRPr="004F6A83">
        <w:rPr>
          <w:bCs/>
          <w:color w:val="000000"/>
          <w:spacing w:val="-3"/>
          <w:sz w:val="28"/>
          <w:szCs w:val="28"/>
        </w:rPr>
        <w:t xml:space="preserve"> </w:t>
      </w:r>
      <w:r w:rsidRPr="004F6A83">
        <w:rPr>
          <w:bCs/>
          <w:color w:val="000000"/>
          <w:spacing w:val="-3"/>
          <w:sz w:val="28"/>
          <w:szCs w:val="28"/>
        </w:rPr>
        <w:t>hodnoticí</w:t>
      </w:r>
      <w:r w:rsidR="004F6A83" w:rsidRPr="004F6A83">
        <w:rPr>
          <w:bCs/>
          <w:color w:val="000000"/>
          <w:spacing w:val="-3"/>
          <w:sz w:val="28"/>
          <w:szCs w:val="28"/>
        </w:rPr>
        <w:t xml:space="preserve"> </w:t>
      </w:r>
      <w:r w:rsidRPr="004F6A83">
        <w:rPr>
          <w:bCs/>
          <w:color w:val="000000"/>
          <w:spacing w:val="-3"/>
          <w:sz w:val="28"/>
          <w:szCs w:val="28"/>
        </w:rPr>
        <w:t>zprávě</w:t>
      </w:r>
    </w:p>
    <w:p w:rsidR="004F6A83" w:rsidRDefault="00357233" w:rsidP="00357233">
      <w:pPr>
        <w:pBdr>
          <w:bottom w:val="single" w:sz="4" w:space="1" w:color="auto"/>
        </w:pBdr>
        <w:shd w:val="clear" w:color="auto" w:fill="FFFFFF"/>
        <w:spacing w:before="120"/>
        <w:ind w:left="6"/>
        <w:jc w:val="center"/>
        <w:rPr>
          <w:bCs/>
          <w:color w:val="000000"/>
          <w:spacing w:val="-3"/>
          <w:sz w:val="28"/>
          <w:szCs w:val="28"/>
        </w:rPr>
      </w:pPr>
      <w:r w:rsidRPr="004F6A83">
        <w:rPr>
          <w:bCs/>
          <w:color w:val="000000"/>
          <w:spacing w:val="-3"/>
          <w:sz w:val="28"/>
          <w:szCs w:val="28"/>
        </w:rPr>
        <w:t>Mezivládního</w:t>
      </w:r>
      <w:r w:rsidR="008A2C17">
        <w:rPr>
          <w:bCs/>
          <w:color w:val="000000"/>
          <w:spacing w:val="-3"/>
          <w:sz w:val="28"/>
          <w:szCs w:val="28"/>
        </w:rPr>
        <w:t xml:space="preserve"> p</w:t>
      </w:r>
      <w:r w:rsidR="004F6A83" w:rsidRPr="004F6A83">
        <w:rPr>
          <w:bCs/>
          <w:color w:val="000000"/>
          <w:spacing w:val="-3"/>
          <w:sz w:val="28"/>
          <w:szCs w:val="28"/>
        </w:rPr>
        <w:t xml:space="preserve">anelu </w:t>
      </w:r>
      <w:r w:rsidR="008A2C17">
        <w:rPr>
          <w:bCs/>
          <w:color w:val="000000"/>
          <w:spacing w:val="-3"/>
          <w:sz w:val="28"/>
          <w:szCs w:val="28"/>
        </w:rPr>
        <w:t xml:space="preserve">pro </w:t>
      </w:r>
      <w:r w:rsidR="004F6A83" w:rsidRPr="004F6A83">
        <w:rPr>
          <w:bCs/>
          <w:color w:val="000000"/>
          <w:spacing w:val="-3"/>
          <w:sz w:val="28"/>
          <w:szCs w:val="28"/>
        </w:rPr>
        <w:t>zm</w:t>
      </w:r>
      <w:r w:rsidR="004F6A83" w:rsidRPr="004F6A83">
        <w:rPr>
          <w:rFonts w:hint="eastAsia"/>
          <w:bCs/>
          <w:color w:val="000000"/>
          <w:spacing w:val="-3"/>
          <w:sz w:val="28"/>
          <w:szCs w:val="28"/>
        </w:rPr>
        <w:t>ě</w:t>
      </w:r>
      <w:r w:rsidR="004F6A83" w:rsidRPr="004F6A83">
        <w:rPr>
          <w:bCs/>
          <w:color w:val="000000"/>
          <w:spacing w:val="-3"/>
          <w:sz w:val="28"/>
          <w:szCs w:val="28"/>
        </w:rPr>
        <w:t>n</w:t>
      </w:r>
      <w:r w:rsidR="008A2C17">
        <w:rPr>
          <w:bCs/>
          <w:color w:val="000000"/>
          <w:spacing w:val="-3"/>
          <w:sz w:val="28"/>
          <w:szCs w:val="28"/>
        </w:rPr>
        <w:t>u</w:t>
      </w:r>
      <w:r w:rsidR="004F6A83" w:rsidRPr="004F6A83">
        <w:rPr>
          <w:bCs/>
          <w:color w:val="000000"/>
          <w:spacing w:val="-3"/>
          <w:sz w:val="28"/>
          <w:szCs w:val="28"/>
        </w:rPr>
        <w:t xml:space="preserve"> klimatu (IPCC)</w:t>
      </w:r>
    </w:p>
    <w:p w:rsidR="00357233" w:rsidRPr="004F6A83" w:rsidRDefault="00357233" w:rsidP="00357233">
      <w:pPr>
        <w:pBdr>
          <w:bottom w:val="single" w:sz="4" w:space="1" w:color="auto"/>
        </w:pBdr>
        <w:shd w:val="clear" w:color="auto" w:fill="FFFFFF"/>
        <w:spacing w:before="120"/>
        <w:ind w:left="6"/>
        <w:jc w:val="center"/>
        <w:rPr>
          <w:bCs/>
          <w:color w:val="000000"/>
          <w:spacing w:val="-3"/>
          <w:sz w:val="28"/>
          <w:szCs w:val="28"/>
        </w:rPr>
      </w:pPr>
    </w:p>
    <w:p w:rsidR="004F6A83" w:rsidRPr="004F6A83" w:rsidRDefault="00CD0EF0" w:rsidP="00357233">
      <w:pPr>
        <w:shd w:val="clear" w:color="auto" w:fill="FFFFFF"/>
        <w:spacing w:before="734"/>
        <w:rPr>
          <w:b/>
          <w:bCs/>
          <w:color w:val="000000"/>
          <w:spacing w:val="-3"/>
          <w:sz w:val="40"/>
          <w:szCs w:val="22"/>
        </w:rPr>
      </w:pPr>
      <w:r w:rsidRPr="00CD0EF0">
        <w:rPr>
          <w:b/>
          <w:bCs/>
          <w:color w:val="000000"/>
          <w:spacing w:val="-3"/>
          <w:sz w:val="40"/>
          <w:szCs w:val="22"/>
        </w:rPr>
        <w:t>Shrnutí pro politické představitele</w:t>
      </w:r>
    </w:p>
    <w:p w:rsidR="00357233" w:rsidRDefault="00357233" w:rsidP="001D50FC">
      <w:pPr>
        <w:shd w:val="clear" w:color="auto" w:fill="FFFFFF"/>
        <w:ind w:left="5"/>
        <w:jc w:val="both"/>
        <w:rPr>
          <w:b/>
          <w:bCs/>
          <w:noProof/>
          <w:color w:val="000000"/>
          <w:spacing w:val="-1"/>
        </w:rPr>
      </w:pPr>
    </w:p>
    <w:p w:rsidR="00E87BAC" w:rsidRDefault="00E87BAC" w:rsidP="001D50FC">
      <w:pPr>
        <w:shd w:val="clear" w:color="auto" w:fill="FFFFFF"/>
        <w:ind w:left="5"/>
        <w:jc w:val="both"/>
        <w:rPr>
          <w:b/>
          <w:bCs/>
          <w:noProof/>
          <w:color w:val="000000"/>
          <w:spacing w:val="-1"/>
        </w:rPr>
      </w:pPr>
    </w:p>
    <w:p w:rsidR="00CD0EF0" w:rsidRDefault="00CD0EF0" w:rsidP="001D50FC">
      <w:pPr>
        <w:shd w:val="clear" w:color="auto" w:fill="FFFFFF"/>
        <w:ind w:left="5"/>
        <w:jc w:val="both"/>
        <w:rPr>
          <w:b/>
          <w:bCs/>
          <w:noProof/>
          <w:color w:val="000000"/>
          <w:spacing w:val="-1"/>
        </w:rPr>
      </w:pPr>
      <w:r w:rsidRPr="00CD0EF0">
        <w:rPr>
          <w:b/>
          <w:bCs/>
          <w:noProof/>
          <w:color w:val="000000"/>
          <w:spacing w:val="-1"/>
        </w:rPr>
        <w:t xml:space="preserve">Hlavní autoři: </w:t>
      </w:r>
    </w:p>
    <w:p w:rsidR="00CD0EF0" w:rsidRDefault="00CD0EF0" w:rsidP="001D50FC">
      <w:pPr>
        <w:shd w:val="clear" w:color="auto" w:fill="FFFFFF"/>
        <w:ind w:left="5"/>
        <w:jc w:val="both"/>
        <w:rPr>
          <w:noProof/>
          <w:color w:val="000000"/>
        </w:rPr>
      </w:pPr>
      <w:r w:rsidRPr="00CD0EF0">
        <w:rPr>
          <w:noProof/>
          <w:color w:val="000000"/>
          <w:spacing w:val="-1"/>
        </w:rPr>
        <w:t xml:space="preserve">Lisa V. Alexander (Austrálie), Simon K. Allen (Švýcarsko/Nový Zéland), Nathaniel </w:t>
      </w:r>
      <w:r w:rsidRPr="00CD0EF0">
        <w:rPr>
          <w:noProof/>
          <w:color w:val="000000"/>
        </w:rPr>
        <w:t xml:space="preserve">L. Bindoff (Austrálie), François-Marie Bréon (Francie), John A. Church (Austrálie), Ulrich Cubasch (Německo), Seita Emori (Japonsko), Piers Forster (Spojené království), Pierre Friedlingstein (Spojené království/Belgie), Nathan </w:t>
      </w:r>
      <w:r w:rsidRPr="00CD0EF0">
        <w:rPr>
          <w:noProof/>
          <w:color w:val="000000"/>
          <w:spacing w:val="-1"/>
        </w:rPr>
        <w:t>Gillett (Kanada), Jonathan M.Gregory (</w:t>
      </w:r>
      <w:r w:rsidRPr="00CD0EF0">
        <w:rPr>
          <w:noProof/>
          <w:color w:val="000000"/>
        </w:rPr>
        <w:t>Spojené království</w:t>
      </w:r>
      <w:r w:rsidRPr="00CD0EF0">
        <w:rPr>
          <w:noProof/>
          <w:color w:val="000000"/>
          <w:spacing w:val="-1"/>
        </w:rPr>
        <w:t xml:space="preserve">), Dennis L. Hartmann (USA), Eystein Jansen (Norsko), Ben </w:t>
      </w:r>
      <w:r w:rsidRPr="00CD0EF0">
        <w:rPr>
          <w:noProof/>
          <w:color w:val="000000"/>
        </w:rPr>
        <w:t xml:space="preserve">Kirtman (USA), Reto Knutti (Švýcarsko), Krishna Kumar Kanikicharla (Indie), Peter Lemke (Německo), Jochem Marotzke (Německo), Valérie Masson-Delmotte (Francie), Gerald A. Meehl </w:t>
      </w:r>
      <w:r w:rsidRPr="00CD0EF0">
        <w:rPr>
          <w:noProof/>
          <w:color w:val="000000"/>
          <w:spacing w:val="-1"/>
        </w:rPr>
        <w:t xml:space="preserve">(USA), Igor I. Mokhov (Rusko), Shilong Piao (Čína), Gian-Kasper Plattner (Švýcarsko), Qin Dahe </w:t>
      </w:r>
      <w:r w:rsidRPr="00CD0EF0">
        <w:rPr>
          <w:noProof/>
          <w:color w:val="000000"/>
        </w:rPr>
        <w:t>(Čína), Venkatachalam Ramaswamy (USA), David Randall (USA), Monika Rhein (Německo), Maisa Rojas (Chile), Christopher Sabine (USA), Drew Shindell (USA), Thomas F. Stocker (Švýcarsko), Lynne D. Talley (USA), David G. Vaughan (Spojené království), Shang-Ping Xie (USA)</w:t>
      </w:r>
    </w:p>
    <w:p w:rsidR="00CD0EF0" w:rsidRPr="00CD0EF0" w:rsidRDefault="00CD0EF0" w:rsidP="001D50FC">
      <w:pPr>
        <w:shd w:val="clear" w:color="auto" w:fill="FFFFFF"/>
        <w:ind w:left="5"/>
        <w:jc w:val="both"/>
        <w:rPr>
          <w:noProof/>
        </w:rPr>
      </w:pPr>
    </w:p>
    <w:p w:rsidR="00CD0EF0" w:rsidRDefault="00CD0EF0" w:rsidP="001D50FC">
      <w:pPr>
        <w:shd w:val="clear" w:color="auto" w:fill="FFFFFF"/>
        <w:jc w:val="both"/>
        <w:rPr>
          <w:b/>
          <w:bCs/>
          <w:noProof/>
          <w:color w:val="000000"/>
        </w:rPr>
      </w:pPr>
      <w:r w:rsidRPr="00CD0EF0">
        <w:rPr>
          <w:b/>
          <w:bCs/>
          <w:noProof/>
          <w:color w:val="000000"/>
        </w:rPr>
        <w:t xml:space="preserve">Přispívající autoři: </w:t>
      </w:r>
    </w:p>
    <w:p w:rsidR="00CD0EF0" w:rsidRPr="00CD0EF0" w:rsidRDefault="00CD0EF0" w:rsidP="001D50FC">
      <w:pPr>
        <w:shd w:val="clear" w:color="auto" w:fill="FFFFFF"/>
        <w:jc w:val="both"/>
      </w:pPr>
      <w:r w:rsidRPr="00CD0EF0">
        <w:rPr>
          <w:noProof/>
          <w:color w:val="000000"/>
        </w:rPr>
        <w:t xml:space="preserve">Myles R. Allen (Spojené království), Olivier Boucher (Francie), Don Chambers (USA), Jens Hesselbjerg Christensen (Dánsko), Philippe Ciais (Francie), Peter U. Clark (USA), Matthew </w:t>
      </w:r>
      <w:r w:rsidRPr="00CD0EF0">
        <w:rPr>
          <w:noProof/>
          <w:color w:val="000000"/>
          <w:spacing w:val="-1"/>
        </w:rPr>
        <w:t xml:space="preserve">Collins (Spojené království), Josefino C. Comiso (USA), Viviane Vasconcellos de Menezes (Austrálie/Brazílie), Richard A. </w:t>
      </w:r>
      <w:r w:rsidRPr="00CD0EF0">
        <w:rPr>
          <w:noProof/>
          <w:color w:val="000000"/>
        </w:rPr>
        <w:t xml:space="preserve">Feely (USA), Thierry Fichefet (Belgie), Arlene M. Fiore (USA), Gregory Flato (Kanada), Jan Fuglestvedt (Norsko), Gabriele Hegerl (Spojené království/Německo), Paul J. Hezel (Belgie/USA), Gregory C. </w:t>
      </w:r>
      <w:r w:rsidRPr="00CD0EF0">
        <w:rPr>
          <w:noProof/>
          <w:color w:val="000000"/>
          <w:spacing w:val="-1"/>
        </w:rPr>
        <w:t xml:space="preserve">Johnson (USA), Georg Kaser (Rakousko/Itálie), Vladimir Kattsov (Rusko), John Kennedy (Spojené království), Albert M. G. </w:t>
      </w:r>
      <w:r w:rsidRPr="00CD0EF0">
        <w:rPr>
          <w:noProof/>
          <w:color w:val="000000"/>
        </w:rPr>
        <w:t>Klein Tank (Nizozemí), Corinne Le Quéré (Spojené království/Francie), Gunnar Myhre (Norsko), Timothy Osborn (Spojené království), Antony J. Payne (Spojené království), Judith Perlwitz (USA), Scott Power (Austrálie), Michael Prather (USA), Stephen R. Rintoul (Austrálie), Joeri Rogelj (Švýcarsko/Belgie), Matilde Rusticucci (Argentina), Michael Schulz (Německo), Jan Sedláček (Švýcarsko), Peter A. Stott (Spojené království), Rowan Sutton (Spojené království), Peter W. Thone (USA/Norsko/Spojené království), Donald Wuebbles (USA)</w:t>
      </w:r>
      <w:r w:rsidRPr="00CD0EF0">
        <w:t>.</w:t>
      </w:r>
    </w:p>
    <w:p w:rsidR="004F6A83" w:rsidRDefault="004F6A83" w:rsidP="004F6A83">
      <w:pPr>
        <w:shd w:val="clear" w:color="auto" w:fill="FFFFFF"/>
        <w:jc w:val="both"/>
        <w:rPr>
          <w:b/>
          <w:bCs/>
          <w:noProof/>
          <w:color w:val="000000"/>
        </w:rPr>
      </w:pPr>
    </w:p>
    <w:p w:rsidR="00452EFF" w:rsidRDefault="00452EFF" w:rsidP="00452EFF">
      <w:pPr>
        <w:shd w:val="clear" w:color="auto" w:fill="FFFFFF"/>
        <w:jc w:val="both"/>
        <w:rPr>
          <w:b/>
          <w:bCs/>
          <w:noProof/>
          <w:color w:val="000000"/>
        </w:rPr>
      </w:pPr>
      <w:r>
        <w:rPr>
          <w:b/>
          <w:bCs/>
          <w:noProof/>
          <w:color w:val="000000"/>
        </w:rPr>
        <w:t>Český překlad</w:t>
      </w:r>
      <w:r w:rsidRPr="00CD0EF0">
        <w:rPr>
          <w:b/>
          <w:bCs/>
          <w:noProof/>
          <w:color w:val="000000"/>
        </w:rPr>
        <w:t xml:space="preserve">: </w:t>
      </w:r>
    </w:p>
    <w:p w:rsidR="00452EFF" w:rsidRDefault="00452EFF" w:rsidP="00452EFF">
      <w:pPr>
        <w:widowControl/>
        <w:jc w:val="both"/>
        <w:rPr>
          <w:noProof/>
          <w:color w:val="000000"/>
        </w:rPr>
      </w:pPr>
      <w:r w:rsidRPr="00357233">
        <w:rPr>
          <w:noProof/>
          <w:color w:val="000000"/>
        </w:rPr>
        <w:t xml:space="preserve">Pro Ministerstvo </w:t>
      </w:r>
      <w:r>
        <w:rPr>
          <w:noProof/>
          <w:color w:val="000000"/>
        </w:rPr>
        <w:t xml:space="preserve">životního prostředí </w:t>
      </w:r>
      <w:r w:rsidRPr="00357233">
        <w:rPr>
          <w:noProof/>
          <w:color w:val="000000"/>
        </w:rPr>
        <w:t>p</w:t>
      </w:r>
      <w:r w:rsidRPr="00357233">
        <w:rPr>
          <w:rFonts w:hint="eastAsia"/>
          <w:noProof/>
          <w:color w:val="000000"/>
        </w:rPr>
        <w:t>ř</w:t>
      </w:r>
      <w:r w:rsidRPr="00357233">
        <w:rPr>
          <w:noProof/>
          <w:color w:val="000000"/>
        </w:rPr>
        <w:t>elo</w:t>
      </w:r>
      <w:r w:rsidRPr="00357233">
        <w:rPr>
          <w:rFonts w:hint="eastAsia"/>
          <w:noProof/>
          <w:color w:val="000000"/>
        </w:rPr>
        <w:t>ž</w:t>
      </w:r>
      <w:r w:rsidRPr="00357233">
        <w:rPr>
          <w:noProof/>
          <w:color w:val="000000"/>
        </w:rPr>
        <w:t>il</w:t>
      </w:r>
      <w:r>
        <w:rPr>
          <w:noProof/>
          <w:color w:val="000000"/>
        </w:rPr>
        <w:t>a překladatelská agentura Presto – Překladatelské centrum s.r.o. Odborná korektura překladu:</w:t>
      </w:r>
      <w:r w:rsidRPr="00357233">
        <w:rPr>
          <w:noProof/>
          <w:color w:val="000000"/>
        </w:rPr>
        <w:t xml:space="preserve"> </w:t>
      </w:r>
      <w:r>
        <w:rPr>
          <w:noProof/>
          <w:color w:val="000000"/>
        </w:rPr>
        <w:t>Jana Kontrošová</w:t>
      </w:r>
      <w:r w:rsidRPr="00357233">
        <w:rPr>
          <w:noProof/>
          <w:color w:val="000000"/>
        </w:rPr>
        <w:t xml:space="preserve"> (Ministerstvo </w:t>
      </w:r>
      <w:r w:rsidRPr="00357233">
        <w:rPr>
          <w:rFonts w:hint="eastAsia"/>
          <w:noProof/>
          <w:color w:val="000000"/>
        </w:rPr>
        <w:t>ž</w:t>
      </w:r>
      <w:r>
        <w:rPr>
          <w:noProof/>
          <w:color w:val="000000"/>
        </w:rPr>
        <w:t>ivotní</w:t>
      </w:r>
      <w:r w:rsidRPr="00357233">
        <w:rPr>
          <w:noProof/>
          <w:color w:val="000000"/>
        </w:rPr>
        <w:t>ho prost</w:t>
      </w:r>
      <w:r w:rsidRPr="00357233">
        <w:rPr>
          <w:rFonts w:hint="eastAsia"/>
          <w:noProof/>
          <w:color w:val="000000"/>
        </w:rPr>
        <w:t>ř</w:t>
      </w:r>
      <w:r>
        <w:rPr>
          <w:noProof/>
          <w:color w:val="000000"/>
        </w:rPr>
        <w:t>edí</w:t>
      </w:r>
      <w:r w:rsidRPr="00357233">
        <w:rPr>
          <w:noProof/>
          <w:color w:val="000000"/>
        </w:rPr>
        <w:t>)</w:t>
      </w:r>
      <w:r>
        <w:rPr>
          <w:noProof/>
          <w:color w:val="000000"/>
        </w:rPr>
        <w:t>, Jaroslava Kalvová (</w:t>
      </w:r>
      <w:r w:rsidR="00F8041D">
        <w:t xml:space="preserve">Katedra meteorologie a ochrany prostředí </w:t>
      </w:r>
      <w:r w:rsidR="00F8041D">
        <w:rPr>
          <w:color w:val="000000"/>
        </w:rPr>
        <w:t>Matematicko-fyzikální fakulty Univerzity Karlovy</w:t>
      </w:r>
      <w:r>
        <w:rPr>
          <w:noProof/>
          <w:color w:val="000000"/>
        </w:rPr>
        <w:t xml:space="preserve">), Stanislava Kliegrová, Radim Tolasz a Ladislav Metelka </w:t>
      </w:r>
      <w:r w:rsidRPr="00357233">
        <w:rPr>
          <w:noProof/>
          <w:color w:val="000000"/>
        </w:rPr>
        <w:t>(</w:t>
      </w:r>
      <w:r w:rsidRPr="00357233">
        <w:rPr>
          <w:rFonts w:hint="eastAsia"/>
          <w:noProof/>
          <w:color w:val="000000"/>
        </w:rPr>
        <w:t>Č</w:t>
      </w:r>
      <w:r>
        <w:rPr>
          <w:noProof/>
          <w:color w:val="000000"/>
        </w:rPr>
        <w:t>eský h</w:t>
      </w:r>
      <w:r w:rsidRPr="00357233">
        <w:rPr>
          <w:noProof/>
          <w:color w:val="000000"/>
        </w:rPr>
        <w:t>ydrometeorologick</w:t>
      </w:r>
      <w:r>
        <w:rPr>
          <w:noProof/>
          <w:color w:val="000000"/>
        </w:rPr>
        <w:t>ý ú</w:t>
      </w:r>
      <w:r w:rsidRPr="00357233">
        <w:rPr>
          <w:noProof/>
          <w:color w:val="000000"/>
        </w:rPr>
        <w:t xml:space="preserve">stav). </w:t>
      </w:r>
      <w:r w:rsidRPr="00357233">
        <w:rPr>
          <w:rFonts w:hint="eastAsia"/>
          <w:noProof/>
          <w:color w:val="000000"/>
        </w:rPr>
        <w:t>Č</w:t>
      </w:r>
      <w:r>
        <w:rPr>
          <w:noProof/>
          <w:color w:val="000000"/>
        </w:rPr>
        <w:t>eské</w:t>
      </w:r>
      <w:r w:rsidRPr="00357233">
        <w:rPr>
          <w:noProof/>
          <w:color w:val="000000"/>
        </w:rPr>
        <w:t xml:space="preserve"> verze obrazk</w:t>
      </w:r>
      <w:r w:rsidRPr="00357233">
        <w:rPr>
          <w:rFonts w:hint="eastAsia"/>
          <w:noProof/>
          <w:color w:val="000000"/>
        </w:rPr>
        <w:t>ů</w:t>
      </w:r>
      <w:r>
        <w:rPr>
          <w:noProof/>
          <w:color w:val="000000"/>
        </w:rPr>
        <w:t xml:space="preserve">: Radim Tolasz a Ladislav Metelka </w:t>
      </w:r>
      <w:r w:rsidRPr="00357233">
        <w:rPr>
          <w:noProof/>
          <w:color w:val="000000"/>
        </w:rPr>
        <w:t>(</w:t>
      </w:r>
      <w:r w:rsidRPr="00357233">
        <w:rPr>
          <w:rFonts w:hint="eastAsia"/>
          <w:noProof/>
          <w:color w:val="000000"/>
        </w:rPr>
        <w:t>Č</w:t>
      </w:r>
      <w:r>
        <w:rPr>
          <w:noProof/>
          <w:color w:val="000000"/>
        </w:rPr>
        <w:t>eský h</w:t>
      </w:r>
      <w:r w:rsidRPr="00357233">
        <w:rPr>
          <w:noProof/>
          <w:color w:val="000000"/>
        </w:rPr>
        <w:t>ydrometeorologick</w:t>
      </w:r>
      <w:r>
        <w:rPr>
          <w:noProof/>
          <w:color w:val="000000"/>
        </w:rPr>
        <w:t>ý ú</w:t>
      </w:r>
      <w:r w:rsidRPr="00357233">
        <w:rPr>
          <w:noProof/>
          <w:color w:val="000000"/>
        </w:rPr>
        <w:t>stav).</w:t>
      </w:r>
    </w:p>
    <w:p w:rsidR="00357233" w:rsidRPr="00357233" w:rsidRDefault="00357233" w:rsidP="00357233">
      <w:pPr>
        <w:shd w:val="clear" w:color="auto" w:fill="FFFFFF"/>
        <w:jc w:val="both"/>
        <w:rPr>
          <w:noProof/>
          <w:color w:val="000000"/>
        </w:rPr>
      </w:pPr>
    </w:p>
    <w:p w:rsidR="008A2C17" w:rsidRDefault="008A2C17" w:rsidP="00CD0EF0">
      <w:pPr>
        <w:shd w:val="clear" w:color="auto" w:fill="FFFFFF"/>
        <w:spacing w:before="374" w:line="379" w:lineRule="exact"/>
        <w:rPr>
          <w:rFonts w:asciiTheme="minorHAnsi" w:hAnsiTheme="minorHAnsi"/>
          <w:sz w:val="22"/>
          <w:szCs w:val="22"/>
        </w:rPr>
      </w:pPr>
    </w:p>
    <w:p w:rsidR="00CD0EF0" w:rsidRPr="00CD0EF0" w:rsidRDefault="00CD0EF0" w:rsidP="00E87A16">
      <w:pPr>
        <w:shd w:val="clear" w:color="auto" w:fill="FFFFFF"/>
        <w:spacing w:line="360" w:lineRule="auto"/>
        <w:jc w:val="both"/>
        <w:rPr>
          <w:sz w:val="16"/>
          <w:szCs w:val="22"/>
        </w:rPr>
      </w:pPr>
      <w:r w:rsidRPr="00CD0EF0">
        <w:rPr>
          <w:sz w:val="16"/>
          <w:szCs w:val="22"/>
        </w:rPr>
        <w:t>Toto shrnutí pro politické představitele by mělo být citováno jako:</w:t>
      </w:r>
    </w:p>
    <w:p w:rsidR="00CD0EF0" w:rsidRDefault="00CD0EF0" w:rsidP="00E87A16">
      <w:pPr>
        <w:shd w:val="clear" w:color="auto" w:fill="FFFFFF"/>
        <w:spacing w:line="360" w:lineRule="auto"/>
        <w:jc w:val="both"/>
        <w:rPr>
          <w:rStyle w:val="A7"/>
          <w:szCs w:val="22"/>
        </w:rPr>
      </w:pPr>
      <w:r w:rsidRPr="00CD0EF0">
        <w:rPr>
          <w:rStyle w:val="A7"/>
          <w:szCs w:val="22"/>
        </w:rPr>
        <w:t xml:space="preserve">IPCC, 2013: </w:t>
      </w:r>
      <w:r w:rsidR="00257328">
        <w:rPr>
          <w:rStyle w:val="A7"/>
          <w:szCs w:val="22"/>
        </w:rPr>
        <w:t>Summary</w:t>
      </w:r>
      <w:r w:rsidRPr="00CD0EF0">
        <w:rPr>
          <w:rStyle w:val="A7"/>
          <w:szCs w:val="22"/>
        </w:rPr>
        <w:t xml:space="preserve"> for Policymakers. In: </w:t>
      </w:r>
      <w:r w:rsidRPr="00CD0EF0">
        <w:rPr>
          <w:rStyle w:val="A7"/>
          <w:rFonts w:cs="Frutiger LT Pro 58 Condensed It"/>
          <w:szCs w:val="22"/>
        </w:rPr>
        <w:t xml:space="preserve">Climate Change 2013: The Physical Science Basis. Contribution of Working Group I to the Fifth Assessment Report of the Intergovernmental Panel on Climate Change </w:t>
      </w:r>
      <w:r w:rsidRPr="00CD0EF0">
        <w:rPr>
          <w:rStyle w:val="A7"/>
          <w:szCs w:val="22"/>
        </w:rPr>
        <w:t>[Stocker, T.F., D. Qin, G.-K. Plattner, M. Tignor, S. K. Allen, J. Boschung, A. Nauels, Y. Xia, V. Bex and P.M. Midgley (eds.)]. Cambridge University Press, Cambridge, United Kingdom and New York, NY, USA.</w:t>
      </w:r>
    </w:p>
    <w:p w:rsidR="00CD0EF0" w:rsidRPr="00CD0EF0" w:rsidRDefault="00CD0EF0" w:rsidP="00CD0EF0">
      <w:pPr>
        <w:shd w:val="clear" w:color="auto" w:fill="FFFFFF"/>
        <w:spacing w:line="360" w:lineRule="auto"/>
        <w:rPr>
          <w:sz w:val="16"/>
          <w:szCs w:val="22"/>
        </w:rPr>
        <w:sectPr w:rsidR="00CD0EF0" w:rsidRPr="00CD0EF0" w:rsidSect="001641F4">
          <w:headerReference w:type="even" r:id="rId9"/>
          <w:footerReference w:type="even" r:id="rId10"/>
          <w:footerReference w:type="default" r:id="rId11"/>
          <w:pgSz w:w="11909" w:h="16834"/>
          <w:pgMar w:top="683" w:right="1150" w:bottom="360" w:left="1144" w:header="708" w:footer="708" w:gutter="0"/>
          <w:pgNumType w:start="1"/>
          <w:cols w:space="60"/>
          <w:noEndnote/>
          <w:docGrid w:linePitch="272"/>
        </w:sectPr>
      </w:pPr>
    </w:p>
    <w:p w:rsidR="001D50FC" w:rsidRPr="008421C5" w:rsidRDefault="001D50FC" w:rsidP="008421C5">
      <w:pPr>
        <w:pStyle w:val="Odstavecseseznamem"/>
        <w:numPr>
          <w:ilvl w:val="0"/>
          <w:numId w:val="5"/>
        </w:numPr>
        <w:shd w:val="clear" w:color="auto" w:fill="FFFFFF"/>
        <w:tabs>
          <w:tab w:val="left" w:pos="0"/>
        </w:tabs>
        <w:ind w:left="426" w:hanging="426"/>
        <w:rPr>
          <w:b/>
          <w:bCs/>
          <w:color w:val="000000"/>
          <w:spacing w:val="-3"/>
          <w:sz w:val="28"/>
          <w:szCs w:val="28"/>
        </w:rPr>
      </w:pPr>
      <w:r w:rsidRPr="008421C5">
        <w:rPr>
          <w:b/>
          <w:bCs/>
          <w:color w:val="000000"/>
          <w:spacing w:val="-3"/>
          <w:sz w:val="28"/>
          <w:szCs w:val="28"/>
        </w:rPr>
        <w:lastRenderedPageBreak/>
        <w:t>Úvod</w:t>
      </w:r>
    </w:p>
    <w:p w:rsidR="001D50FC" w:rsidRPr="001D50FC" w:rsidRDefault="001D50FC" w:rsidP="00E87A16">
      <w:pPr>
        <w:pStyle w:val="Odstavecseseznamem"/>
        <w:shd w:val="clear" w:color="auto" w:fill="FFFFFF"/>
        <w:tabs>
          <w:tab w:val="left" w:pos="317"/>
        </w:tabs>
        <w:rPr>
          <w:sz w:val="28"/>
          <w:szCs w:val="28"/>
        </w:rPr>
      </w:pPr>
    </w:p>
    <w:p w:rsidR="001D50FC" w:rsidRDefault="001D50FC" w:rsidP="001D50FC">
      <w:pPr>
        <w:shd w:val="clear" w:color="auto" w:fill="FFFFFF"/>
        <w:contextualSpacing/>
        <w:jc w:val="both"/>
        <w:rPr>
          <w:color w:val="000000"/>
          <w:spacing w:val="5"/>
        </w:rPr>
      </w:pPr>
      <w:r w:rsidRPr="001D50FC">
        <w:rPr>
          <w:color w:val="000000"/>
        </w:rPr>
        <w:t>Příspěvek Pracovní skupiny I k Páté hodnotící zprávě (AR5) Mezivládního panelu pro změn</w:t>
      </w:r>
      <w:r w:rsidR="006512CC">
        <w:rPr>
          <w:color w:val="000000"/>
        </w:rPr>
        <w:t>u klimatu</w:t>
      </w:r>
      <w:r w:rsidRPr="001D50FC">
        <w:rPr>
          <w:color w:val="000000"/>
        </w:rPr>
        <w:t xml:space="preserve"> (IPCC) pojednává o nových důkazech o změně klimatu, vycházejících z řady nezávislých vědeckých analýz, pozorování klimatického systému, paleoklimatických archívů, teoretických studií procesů v klimatickém systému a simulací s použitím klimatických modelů. Dále rozvíjí příspěvek Pracovní skupiny I ke Čtvrté hodnotící zprávě IPCC (AR4) a začleňuje do něj další nová zjištění výzkumu. </w:t>
      </w:r>
      <w:r w:rsidRPr="001D50FC">
        <w:rPr>
          <w:color w:val="000000"/>
          <w:spacing w:val="5"/>
        </w:rPr>
        <w:t xml:space="preserve">Jako součást pátého cyklu hodnocení je důležitým základem pro informace o změnách počasí a klimatických extrémů </w:t>
      </w:r>
      <w:r w:rsidRPr="001D50FC">
        <w:rPr>
          <w:color w:val="000000"/>
        </w:rPr>
        <w:t>Zvláštní zpráva IPCC „</w:t>
      </w:r>
      <w:r w:rsidRPr="001D50FC">
        <w:rPr>
          <w:color w:val="000000"/>
          <w:spacing w:val="3"/>
        </w:rPr>
        <w:t xml:space="preserve">IPCC Special Report on Managing the Risks of </w:t>
      </w:r>
      <w:r w:rsidRPr="001D50FC">
        <w:rPr>
          <w:color w:val="000000"/>
          <w:spacing w:val="5"/>
        </w:rPr>
        <w:t xml:space="preserve">Extreme Events to Advance Climate Change Adaptation“ (SREX). </w:t>
      </w:r>
    </w:p>
    <w:p w:rsidR="001D50FC" w:rsidRPr="001D50FC" w:rsidRDefault="001D50FC" w:rsidP="001D50FC">
      <w:pPr>
        <w:shd w:val="clear" w:color="auto" w:fill="FFFFFF"/>
        <w:contextualSpacing/>
        <w:jc w:val="both"/>
        <w:rPr>
          <w:color w:val="000000"/>
        </w:rPr>
      </w:pPr>
    </w:p>
    <w:p w:rsidR="001D50FC" w:rsidRDefault="001D50FC" w:rsidP="001D50FC">
      <w:pPr>
        <w:shd w:val="clear" w:color="auto" w:fill="FFFFFF"/>
        <w:contextualSpacing/>
        <w:jc w:val="both"/>
        <w:rPr>
          <w:color w:val="000000"/>
        </w:rPr>
      </w:pPr>
      <w:r w:rsidRPr="001D50FC">
        <w:rPr>
          <w:color w:val="000000"/>
        </w:rPr>
        <w:t>Toto Shrnutí pro politické představitele (</w:t>
      </w:r>
      <w:r w:rsidR="00257328">
        <w:rPr>
          <w:color w:val="000000"/>
        </w:rPr>
        <w:t>Summary</w:t>
      </w:r>
      <w:r w:rsidRPr="001D50FC">
        <w:rPr>
          <w:color w:val="000000"/>
        </w:rPr>
        <w:t xml:space="preserve"> for Policymakers - SPM) má stejnou strukturu jako zpráva Pracovní skupiny I. Popisný text je doplněn sérií zvýrazněných zastřešujících závěrů, které ve své celistvosti představují stručné shrnutí. Hlavní kapitoly jsou uvedeny krátkým odstavcem psaným kurzívou, který popisuje metodické východisko hodnocení.</w:t>
      </w:r>
    </w:p>
    <w:p w:rsidR="001D50FC" w:rsidRPr="001D50FC" w:rsidRDefault="001D50FC" w:rsidP="001D50FC">
      <w:pPr>
        <w:shd w:val="clear" w:color="auto" w:fill="FFFFFF"/>
        <w:contextualSpacing/>
        <w:jc w:val="both"/>
      </w:pPr>
    </w:p>
    <w:p w:rsidR="001D50FC" w:rsidRDefault="001D50FC" w:rsidP="001D50FC">
      <w:pPr>
        <w:shd w:val="clear" w:color="auto" w:fill="FFFFFF"/>
        <w:contextualSpacing/>
        <w:jc w:val="both"/>
        <w:rPr>
          <w:iCs/>
          <w:color w:val="000000"/>
          <w:spacing w:val="6"/>
        </w:rPr>
      </w:pPr>
      <w:r w:rsidRPr="001D50FC">
        <w:rPr>
          <w:color w:val="000000"/>
          <w:spacing w:val="6"/>
        </w:rPr>
        <w:t xml:space="preserve">Stupeň jistoty u klíčových zjištění v tomto hodnocení vychází z posouzení podkladových vědeckých poznatků, které provedly jednotlivé autorské týmy, a je vyjádřen jako kvalitativní úroveň spolehlivosti (od </w:t>
      </w:r>
      <w:r w:rsidRPr="001D50FC">
        <w:rPr>
          <w:i/>
          <w:iCs/>
          <w:color w:val="000000"/>
          <w:spacing w:val="6"/>
        </w:rPr>
        <w:t xml:space="preserve">velmi nízké </w:t>
      </w:r>
      <w:r w:rsidRPr="001D50FC">
        <w:rPr>
          <w:iCs/>
          <w:color w:val="000000"/>
          <w:spacing w:val="6"/>
        </w:rPr>
        <w:t xml:space="preserve">po </w:t>
      </w:r>
      <w:r w:rsidRPr="001D50FC">
        <w:rPr>
          <w:i/>
          <w:iCs/>
          <w:color w:val="000000"/>
          <w:spacing w:val="6"/>
        </w:rPr>
        <w:t>velmi vysokou</w:t>
      </w:r>
      <w:r w:rsidRPr="001D50FC">
        <w:rPr>
          <w:iCs/>
          <w:color w:val="000000"/>
          <w:spacing w:val="6"/>
        </w:rPr>
        <w:t xml:space="preserve">) a pokud možno i pravděpodobnostně s kvantifikovanou pravděpodobností (od </w:t>
      </w:r>
      <w:r w:rsidRPr="001D50FC">
        <w:rPr>
          <w:i/>
          <w:iCs/>
          <w:color w:val="000000"/>
          <w:spacing w:val="6"/>
        </w:rPr>
        <w:t>velmi nepravděpodobné</w:t>
      </w:r>
      <w:r w:rsidRPr="001D50FC">
        <w:rPr>
          <w:iCs/>
          <w:color w:val="000000"/>
          <w:spacing w:val="6"/>
        </w:rPr>
        <w:t xml:space="preserve"> po </w:t>
      </w:r>
      <w:r w:rsidRPr="001D50FC">
        <w:rPr>
          <w:i/>
          <w:iCs/>
          <w:color w:val="000000"/>
          <w:spacing w:val="6"/>
        </w:rPr>
        <w:t>prakticky jisté</w:t>
      </w:r>
      <w:r w:rsidRPr="001D50FC">
        <w:rPr>
          <w:iCs/>
          <w:color w:val="000000"/>
          <w:spacing w:val="6"/>
        </w:rPr>
        <w:t>). Spolehlivost zjištění závisí na druhu, množství, kvalitě a konzistenci důkazů (např. data, mechanistické chápání, teorie, modely, expertní posouzení) a na stupni shody</w:t>
      </w:r>
      <w:r w:rsidRPr="001D50FC">
        <w:rPr>
          <w:rStyle w:val="Znakapoznpodarou"/>
          <w:iCs/>
          <w:color w:val="000000"/>
          <w:spacing w:val="6"/>
        </w:rPr>
        <w:footnoteReference w:id="1"/>
      </w:r>
      <w:r w:rsidRPr="001D50FC">
        <w:rPr>
          <w:iCs/>
          <w:color w:val="000000"/>
          <w:spacing w:val="6"/>
        </w:rPr>
        <w:t>. Pravděpodobnostní odhady kvantifikované míry neurčitosti u zjištění vycházejí ze statistické analýzy pozorování nebo modelových výsledků, případně z obojího, a z expertního posouzení</w:t>
      </w:r>
      <w:r w:rsidRPr="001D50FC">
        <w:rPr>
          <w:rStyle w:val="Znakapoznpodarou"/>
          <w:iCs/>
          <w:color w:val="000000"/>
          <w:spacing w:val="6"/>
        </w:rPr>
        <w:footnoteReference w:id="2"/>
      </w:r>
      <w:r w:rsidRPr="001D50FC">
        <w:rPr>
          <w:iCs/>
          <w:color w:val="000000"/>
          <w:spacing w:val="6"/>
        </w:rPr>
        <w:t>. Ve vhodných případech jsou zjištění formulována také jako vyjádření skutečnosti bez použití kvalifikátorů neurčitosti. (Podrobnější informace o terminologii, kterou IPCC používá pro vyjádření neurčitosti, je uvedena v 1. kapitole Zprávy a v boxu TS.1).</w:t>
      </w:r>
    </w:p>
    <w:p w:rsidR="001D50FC" w:rsidRPr="001D50FC" w:rsidRDefault="001D50FC" w:rsidP="001D50FC">
      <w:pPr>
        <w:shd w:val="clear" w:color="auto" w:fill="FFFFFF"/>
        <w:contextualSpacing/>
        <w:jc w:val="both"/>
        <w:rPr>
          <w:color w:val="000000"/>
          <w:spacing w:val="6"/>
        </w:rPr>
      </w:pPr>
    </w:p>
    <w:p w:rsidR="00E87A16" w:rsidRPr="00E87A16" w:rsidRDefault="001D50FC" w:rsidP="00E87A16">
      <w:pPr>
        <w:shd w:val="clear" w:color="auto" w:fill="FFFFFF"/>
        <w:contextualSpacing/>
        <w:jc w:val="both"/>
      </w:pPr>
      <w:r w:rsidRPr="001D50FC">
        <w:rPr>
          <w:color w:val="000000"/>
          <w:spacing w:val="4"/>
        </w:rPr>
        <w:t xml:space="preserve">Podklady pro podstatné části tohoto </w:t>
      </w:r>
      <w:r w:rsidRPr="001D50FC">
        <w:rPr>
          <w:color w:val="000000"/>
        </w:rPr>
        <w:t xml:space="preserve">Shrnutí pro politické představitele lze nalézt v jednotlivých kapitolách zprávy a v Technical </w:t>
      </w:r>
      <w:r w:rsidR="00257328">
        <w:rPr>
          <w:color w:val="000000"/>
        </w:rPr>
        <w:t>Summary</w:t>
      </w:r>
      <w:r w:rsidRPr="001D50FC">
        <w:rPr>
          <w:color w:val="000000"/>
        </w:rPr>
        <w:t>. Tyto odkazy jsou uvedeny ve složených závorkách.</w:t>
      </w:r>
    </w:p>
    <w:p w:rsidR="00E87A16" w:rsidRPr="008421C5" w:rsidRDefault="00E87A16" w:rsidP="008421C5">
      <w:pPr>
        <w:pStyle w:val="Odstavecseseznamem"/>
        <w:numPr>
          <w:ilvl w:val="0"/>
          <w:numId w:val="5"/>
        </w:numPr>
        <w:shd w:val="clear" w:color="auto" w:fill="FFFFFF"/>
        <w:tabs>
          <w:tab w:val="left" w:pos="0"/>
        </w:tabs>
        <w:spacing w:before="528"/>
        <w:ind w:left="426" w:hanging="426"/>
        <w:rPr>
          <w:sz w:val="28"/>
          <w:szCs w:val="28"/>
        </w:rPr>
      </w:pPr>
      <w:r w:rsidRPr="008421C5">
        <w:rPr>
          <w:b/>
          <w:bCs/>
          <w:color w:val="000000"/>
          <w:spacing w:val="10"/>
          <w:sz w:val="28"/>
          <w:szCs w:val="28"/>
        </w:rPr>
        <w:t>Pozorované změny klimatického systému</w:t>
      </w:r>
    </w:p>
    <w:p w:rsidR="00E87A16" w:rsidRDefault="00E87A16" w:rsidP="00E87A16">
      <w:pPr>
        <w:shd w:val="clear" w:color="auto" w:fill="FFFFFF"/>
        <w:spacing w:before="254" w:line="250" w:lineRule="exact"/>
        <w:ind w:left="10" w:right="5"/>
        <w:jc w:val="both"/>
        <w:rPr>
          <w:i/>
          <w:iCs/>
          <w:color w:val="000000"/>
        </w:rPr>
      </w:pPr>
      <w:r w:rsidRPr="00E87A16">
        <w:rPr>
          <w:i/>
          <w:iCs/>
          <w:color w:val="000000"/>
        </w:rPr>
        <w:t>Pozorování klimatického systému vychází z přímých měření a dálkové detekce z družic a dalších zařízení. Přístrojová měření v globálním měřítku se datují od poloviny 19. století pro teplotu a další prvky, od roku 1950 pak máme k dispozici komplexnější a různorodější soubory pozorování. Paleoklimatické rekonstrukce rozšiřují některé záznamy o stovky až miliony let zpět do minulosti. Všechny tyto údaje společně pak poskytují komplexní obrázek o variabilitě a dlouhodobých změnách atmosféry, oceánu, kryosféry a zemského povrchu.</w:t>
      </w:r>
    </w:p>
    <w:p w:rsidR="00E87A16" w:rsidRPr="00E87A16" w:rsidRDefault="00C3040A" w:rsidP="00E87A16">
      <w:pPr>
        <w:shd w:val="clear" w:color="auto" w:fill="FFFFFF"/>
        <w:spacing w:before="254" w:line="250" w:lineRule="exact"/>
        <w:ind w:left="10" w:right="5"/>
        <w:jc w:val="both"/>
        <w:rPr>
          <w:i/>
          <w:iCs/>
          <w:color w:val="000000"/>
        </w:rPr>
      </w:pPr>
      <w:r>
        <w:rPr>
          <w:noProof/>
        </w:rPr>
        <mc:AlternateContent>
          <mc:Choice Requires="wps">
            <w:drawing>
              <wp:anchor distT="0" distB="0" distL="114300" distR="114300" simplePos="0" relativeHeight="251660288" behindDoc="0" locked="0" layoutInCell="1" allowOverlap="1">
                <wp:simplePos x="0" y="0"/>
                <wp:positionH relativeFrom="column">
                  <wp:align>center</wp:align>
                </wp:positionH>
                <wp:positionV relativeFrom="paragraph">
                  <wp:posOffset>102235</wp:posOffset>
                </wp:positionV>
                <wp:extent cx="5695950" cy="817880"/>
                <wp:effectExtent l="9525" t="6985" r="9525" b="13335"/>
                <wp:wrapNone/>
                <wp:docPr id="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5950" cy="817880"/>
                        </a:xfrm>
                        <a:prstGeom prst="rect">
                          <a:avLst/>
                        </a:prstGeom>
                        <a:solidFill>
                          <a:schemeClr val="accent6">
                            <a:lumMod val="40000"/>
                            <a:lumOff val="60000"/>
                          </a:schemeClr>
                        </a:solidFill>
                        <a:ln w="9525">
                          <a:solidFill>
                            <a:schemeClr val="accent6">
                              <a:lumMod val="40000"/>
                              <a:lumOff val="60000"/>
                            </a:schemeClr>
                          </a:solidFill>
                          <a:miter lim="800000"/>
                          <a:headEnd/>
                          <a:tailEnd/>
                        </a:ln>
                      </wps:spPr>
                      <wps:txbx>
                        <w:txbxContent>
                          <w:p w:rsidR="00C907E7" w:rsidRPr="00F04516" w:rsidRDefault="00C907E7" w:rsidP="00535E45">
                            <w:pPr>
                              <w:jc w:val="both"/>
                              <w:rPr>
                                <w:b/>
                                <w:color w:val="984806" w:themeColor="accent6" w:themeShade="80"/>
                                <w:spacing w:val="-2"/>
                                <w:sz w:val="16"/>
                                <w:szCs w:val="16"/>
                              </w:rPr>
                            </w:pPr>
                            <w:r w:rsidRPr="00F04516">
                              <w:rPr>
                                <w:b/>
                                <w:color w:val="984806" w:themeColor="accent6" w:themeShade="80"/>
                              </w:rPr>
                              <w:t xml:space="preserve">Oteplování klimatického systému je nepochybné a od padesátých let minulého století nemá řada pozorovaných změn obdoby po celá desetiletí až tisíciletí. Atmosféra a oceán se oteplily, množství sněhu a ledu kleslo, hladina oceánu stoupla a koncentrace skleníkových plynů se zvýšily (viz obr. SPM.1, SPM.2, SPM.3 a SPM.4). </w:t>
                            </w:r>
                            <w:r w:rsidRPr="00F04516">
                              <w:rPr>
                                <w:b/>
                                <w:color w:val="984806" w:themeColor="accent6" w:themeShade="80"/>
                                <w:sz w:val="16"/>
                                <w:szCs w:val="16"/>
                              </w:rPr>
                              <w:t xml:space="preserve">{2.2, 2.4, 3.2, </w:t>
                            </w:r>
                            <w:r w:rsidRPr="00F04516">
                              <w:rPr>
                                <w:b/>
                                <w:color w:val="984806" w:themeColor="accent6" w:themeShade="80"/>
                                <w:spacing w:val="-2"/>
                                <w:sz w:val="16"/>
                                <w:szCs w:val="16"/>
                              </w:rPr>
                              <w:t>3.7, 4.2-4.7, 5.2, 5.3, 5.5-5.6, 6.2, 13.2}.</w:t>
                            </w:r>
                          </w:p>
                          <w:p w:rsidR="00C907E7" w:rsidRPr="00E87A16" w:rsidRDefault="00C907E7" w:rsidP="00E87A16"/>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0;margin-top:8.05pt;width:448.5pt;height:64.4pt;z-index:25166028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" fillcolor="#fbd4b4 [1305]" strokecolor="#fbd4b4 [1305]">
                <v:textbox>
                  <w:txbxContent>
                    <w:p w:rsidR="00C907E7" w:rsidRPr="00F04516" w:rsidRDefault="00C907E7" w:rsidP="00535E45">
                      <w:pPr>
                        <w:jc w:val="both"/>
                        <w:rPr>
                          <w:b/>
                          <w:color w:val="984806" w:themeColor="accent6" w:themeShade="80"/>
                          <w:spacing w:val="-2"/>
                          <w:sz w:val="16"/>
                          <w:szCs w:val="16"/>
                        </w:rPr>
                      </w:pPr>
                      <w:r w:rsidRPr="00F04516">
                        <w:rPr>
                          <w:b/>
                          <w:color w:val="984806" w:themeColor="accent6" w:themeShade="80"/>
                        </w:rPr>
                        <w:t xml:space="preserve">Oteplování klimatického systému je nepochybné a od padesátých let minulého století nemá řada pozorovaných změn obdoby po celá desetiletí až tisíciletí. Atmosféra a oceán se oteplily, množství sněhu a ledu kleslo, hladina oceánu stoupla a koncentrace skleníkových plynů se zvýšily (viz obr. SPM.1, SPM.2, SPM.3 a SPM.4). </w:t>
                      </w:r>
                      <w:r w:rsidRPr="00F04516">
                        <w:rPr>
                          <w:b/>
                          <w:color w:val="984806" w:themeColor="accent6" w:themeShade="80"/>
                          <w:sz w:val="16"/>
                          <w:szCs w:val="16"/>
                        </w:rPr>
                        <w:t xml:space="preserve">{2.2, 2.4, 3.2, </w:t>
                      </w:r>
                      <w:r w:rsidRPr="00F04516">
                        <w:rPr>
                          <w:b/>
                          <w:color w:val="984806" w:themeColor="accent6" w:themeShade="80"/>
                          <w:spacing w:val="-2"/>
                          <w:sz w:val="16"/>
                          <w:szCs w:val="16"/>
                        </w:rPr>
                        <w:t>3.7, 4.2-4.7, 5.2, 5.3, 5.5-5.6, 6.2, 13.2}.</w:t>
                      </w:r>
                    </w:p>
                    <w:p w:rsidR="00C907E7" w:rsidRPr="00E87A16" w:rsidRDefault="00C907E7" w:rsidP="00E87A16"/>
                  </w:txbxContent>
                </v:textbox>
              </v:shape>
            </w:pict>
          </mc:Fallback>
        </mc:AlternateContent>
      </w:r>
    </w:p>
    <w:p w:rsidR="00E87A16" w:rsidRDefault="00E87A16"/>
    <w:p w:rsidR="00E87A16" w:rsidRDefault="00E87A16"/>
    <w:p w:rsidR="00E87A16" w:rsidRDefault="00E87A16"/>
    <w:p w:rsidR="00E87A16" w:rsidRDefault="00E87A16"/>
    <w:p w:rsidR="00E87A16" w:rsidRDefault="00E87A16"/>
    <w:p w:rsidR="00E87A16" w:rsidRDefault="00E87A16"/>
    <w:p w:rsidR="00AA2AEB" w:rsidRDefault="00AA2AEB" w:rsidP="008421C5">
      <w:pPr>
        <w:ind w:left="426" w:hanging="360"/>
        <w:rPr>
          <w:b/>
          <w:bCs/>
          <w:iCs/>
          <w:color w:val="000000"/>
          <w:sz w:val="28"/>
          <w:szCs w:val="28"/>
        </w:rPr>
      </w:pPr>
    </w:p>
    <w:p w:rsidR="00AA2AEB" w:rsidRDefault="00AA2AEB" w:rsidP="008421C5">
      <w:pPr>
        <w:ind w:left="426" w:hanging="360"/>
        <w:rPr>
          <w:b/>
          <w:bCs/>
          <w:iCs/>
          <w:color w:val="000000"/>
          <w:sz w:val="28"/>
          <w:szCs w:val="28"/>
        </w:rPr>
      </w:pPr>
    </w:p>
    <w:p w:rsidR="00E87A16" w:rsidRDefault="008421C5" w:rsidP="008421C5">
      <w:pPr>
        <w:ind w:left="426" w:hanging="360"/>
        <w:rPr>
          <w:b/>
          <w:bCs/>
          <w:iCs/>
          <w:color w:val="000000"/>
          <w:sz w:val="28"/>
          <w:szCs w:val="28"/>
        </w:rPr>
      </w:pPr>
      <w:r w:rsidRPr="008421C5">
        <w:rPr>
          <w:b/>
          <w:bCs/>
          <w:iCs/>
          <w:color w:val="000000"/>
          <w:sz w:val="28"/>
          <w:szCs w:val="28"/>
        </w:rPr>
        <w:lastRenderedPageBreak/>
        <w:t>B.1</w:t>
      </w:r>
      <w:r>
        <w:rPr>
          <w:b/>
          <w:bCs/>
          <w:iCs/>
          <w:color w:val="000000"/>
          <w:sz w:val="28"/>
          <w:szCs w:val="28"/>
        </w:rPr>
        <w:t xml:space="preserve">  </w:t>
      </w:r>
      <w:r w:rsidRPr="008421C5">
        <w:rPr>
          <w:b/>
          <w:bCs/>
          <w:iCs/>
          <w:color w:val="000000"/>
          <w:sz w:val="28"/>
          <w:szCs w:val="28"/>
        </w:rPr>
        <w:t>Atmosféra</w:t>
      </w:r>
    </w:p>
    <w:p w:rsidR="00D16E70" w:rsidRDefault="00C3040A" w:rsidP="008421C5">
      <w:pPr>
        <w:ind w:left="426" w:hanging="360"/>
        <w:rPr>
          <w:sz w:val="28"/>
          <w:szCs w:val="28"/>
        </w:rPr>
      </w:pPr>
      <w:r>
        <w:rPr>
          <w:b/>
          <w:bCs/>
          <w:iCs/>
          <w:noProof/>
          <w:color w:val="000000"/>
          <w:sz w:val="28"/>
          <w:szCs w:val="28"/>
        </w:rPr>
        <mc:AlternateContent>
          <mc:Choice Requires="wps">
            <w:drawing>
              <wp:anchor distT="0" distB="0" distL="114300" distR="114300" simplePos="0" relativeHeight="251662336" behindDoc="0" locked="0" layoutInCell="1" allowOverlap="1">
                <wp:simplePos x="0" y="0"/>
                <wp:positionH relativeFrom="column">
                  <wp:posOffset>-118745</wp:posOffset>
                </wp:positionH>
                <wp:positionV relativeFrom="paragraph">
                  <wp:posOffset>162560</wp:posOffset>
                </wp:positionV>
                <wp:extent cx="6093460" cy="539115"/>
                <wp:effectExtent l="5080" t="10160" r="6985" b="12700"/>
                <wp:wrapNone/>
                <wp:docPr id="3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3460" cy="539115"/>
                        </a:xfrm>
                        <a:prstGeom prst="rect">
                          <a:avLst/>
                        </a:prstGeom>
                        <a:solidFill>
                          <a:schemeClr val="accent6">
                            <a:lumMod val="40000"/>
                            <a:lumOff val="60000"/>
                          </a:schemeClr>
                        </a:solidFill>
                        <a:ln w="9525">
                          <a:solidFill>
                            <a:schemeClr val="accent6">
                              <a:lumMod val="40000"/>
                              <a:lumOff val="60000"/>
                            </a:schemeClr>
                          </a:solidFill>
                          <a:miter lim="800000"/>
                          <a:headEnd/>
                          <a:tailEnd/>
                        </a:ln>
                      </wps:spPr>
                      <wps:txbx>
                        <w:txbxContent>
                          <w:p w:rsidR="00C907E7" w:rsidRPr="00F04516" w:rsidRDefault="00C907E7" w:rsidP="00632BCD">
                            <w:pPr>
                              <w:jc w:val="both"/>
                              <w:rPr>
                                <w:b/>
                                <w:color w:val="984806" w:themeColor="accent6" w:themeShade="80"/>
                              </w:rPr>
                            </w:pPr>
                            <w:r w:rsidRPr="00F04516">
                              <w:rPr>
                                <w:b/>
                                <w:color w:val="984806" w:themeColor="accent6" w:themeShade="80"/>
                              </w:rPr>
                              <w:t xml:space="preserve">Každé z posledních tří desetiletí bylo v blízkosti zemského povrchu teplejší než kterékoli předchozí desetiletí od roku 1850 (viz obr. SPM.1). Na severní polokouli bylo období 1983-2012 </w:t>
                            </w:r>
                            <w:r w:rsidRPr="00F04516">
                              <w:rPr>
                                <w:b/>
                                <w:i/>
                                <w:color w:val="984806" w:themeColor="accent6" w:themeShade="80"/>
                              </w:rPr>
                              <w:t>pravděpodobně</w:t>
                            </w:r>
                            <w:r w:rsidRPr="00F04516">
                              <w:rPr>
                                <w:b/>
                                <w:color w:val="984806" w:themeColor="accent6" w:themeShade="80"/>
                              </w:rPr>
                              <w:t xml:space="preserve"> nejteplejším třicetiletím za posledních 1400 let (</w:t>
                            </w:r>
                            <w:r w:rsidRPr="00F04516">
                              <w:rPr>
                                <w:b/>
                                <w:i/>
                                <w:color w:val="984806" w:themeColor="accent6" w:themeShade="80"/>
                              </w:rPr>
                              <w:t>střední spolehlivost</w:t>
                            </w:r>
                            <w:r w:rsidRPr="00F04516">
                              <w:rPr>
                                <w:b/>
                                <w:color w:val="984806" w:themeColor="accent6" w:themeShade="80"/>
                              </w:rPr>
                              <w:t xml:space="preserve">). </w:t>
                            </w:r>
                            <w:r w:rsidRPr="00F04516">
                              <w:rPr>
                                <w:b/>
                                <w:color w:val="984806" w:themeColor="accent6" w:themeShade="80"/>
                                <w:sz w:val="16"/>
                                <w:szCs w:val="16"/>
                              </w:rPr>
                              <w:t>{2.4, 5.3</w:t>
                            </w:r>
                            <w:r w:rsidRPr="00F04516">
                              <w:rPr>
                                <w:b/>
                                <w:color w:val="984806" w:themeColor="accent6" w:themeShade="80"/>
                                <w:spacing w:val="-2"/>
                                <w:sz w:val="16"/>
                                <w:szCs w:val="16"/>
                              </w:rPr>
                              <w:t>}</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3" o:spid="_x0000_s1027" type="#_x0000_t202" style="position:absolute;left:0;text-align:left;margin-left:-9.35pt;margin-top:12.8pt;width:479.8pt;height:42.45pt;z-index:2516623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" fillcolor="#fbd4b4 [1305]" strokecolor="#fbd4b4 [1305]">
                <v:textbox style="mso-fit-shape-to-text:t">
                  <w:txbxContent>
                    <w:p w:rsidR="00C907E7" w:rsidRPr="00F04516" w:rsidRDefault="00C907E7" w:rsidP="00632BCD">
                      <w:pPr>
                        <w:jc w:val="both"/>
                        <w:rPr>
                          <w:b/>
                          <w:color w:val="984806" w:themeColor="accent6" w:themeShade="80"/>
                        </w:rPr>
                      </w:pPr>
                      <w:r w:rsidRPr="00F04516">
                        <w:rPr>
                          <w:b/>
                          <w:color w:val="984806" w:themeColor="accent6" w:themeShade="80"/>
                        </w:rPr>
                        <w:t xml:space="preserve">Každé z posledních tří desetiletí bylo v blízkosti zemského povrchu teplejší než kterékoli předchozí desetiletí od roku 1850 (viz obr. SPM.1). Na severní polokouli bylo období 1983-2012 </w:t>
                      </w:r>
                      <w:r w:rsidRPr="00F04516">
                        <w:rPr>
                          <w:b/>
                          <w:i/>
                          <w:color w:val="984806" w:themeColor="accent6" w:themeShade="80"/>
                        </w:rPr>
                        <w:t>pravděpodobně</w:t>
                      </w:r>
                      <w:r w:rsidRPr="00F04516">
                        <w:rPr>
                          <w:b/>
                          <w:color w:val="984806" w:themeColor="accent6" w:themeShade="80"/>
                        </w:rPr>
                        <w:t xml:space="preserve"> nejteplejším třicetiletím za posledních 1400 let (</w:t>
                      </w:r>
                      <w:r w:rsidRPr="00F04516">
                        <w:rPr>
                          <w:b/>
                          <w:i/>
                          <w:color w:val="984806" w:themeColor="accent6" w:themeShade="80"/>
                        </w:rPr>
                        <w:t>střední spolehlivost</w:t>
                      </w:r>
                      <w:r w:rsidRPr="00F04516">
                        <w:rPr>
                          <w:b/>
                          <w:color w:val="984806" w:themeColor="accent6" w:themeShade="80"/>
                        </w:rPr>
                        <w:t xml:space="preserve">). </w:t>
                      </w:r>
                      <w:r w:rsidRPr="00F04516">
                        <w:rPr>
                          <w:b/>
                          <w:color w:val="984806" w:themeColor="accent6" w:themeShade="80"/>
                          <w:sz w:val="16"/>
                          <w:szCs w:val="16"/>
                        </w:rPr>
                        <w:t>{2.4, 5.3</w:t>
                      </w:r>
                      <w:r w:rsidRPr="00F04516">
                        <w:rPr>
                          <w:b/>
                          <w:color w:val="984806" w:themeColor="accent6" w:themeShade="80"/>
                          <w:spacing w:val="-2"/>
                          <w:sz w:val="16"/>
                          <w:szCs w:val="16"/>
                        </w:rPr>
                        <w:t>}</w:t>
                      </w:r>
                    </w:p>
                  </w:txbxContent>
                </v:textbox>
              </v:shape>
            </w:pict>
          </mc:Fallback>
        </mc:AlternateContent>
      </w:r>
    </w:p>
    <w:p w:rsidR="00D16E70" w:rsidRDefault="00D16E70" w:rsidP="008421C5">
      <w:pPr>
        <w:ind w:left="426" w:hanging="360"/>
        <w:rPr>
          <w:sz w:val="28"/>
          <w:szCs w:val="28"/>
        </w:rPr>
      </w:pPr>
    </w:p>
    <w:p w:rsidR="00D16E70" w:rsidRDefault="00D16E70" w:rsidP="008421C5">
      <w:pPr>
        <w:ind w:left="426" w:hanging="360"/>
        <w:rPr>
          <w:sz w:val="28"/>
          <w:szCs w:val="28"/>
        </w:rPr>
      </w:pPr>
    </w:p>
    <w:p w:rsidR="00D16E70" w:rsidRDefault="00D16E70" w:rsidP="008421C5">
      <w:pPr>
        <w:ind w:left="426" w:hanging="360"/>
        <w:rPr>
          <w:sz w:val="28"/>
          <w:szCs w:val="28"/>
        </w:rPr>
      </w:pPr>
    </w:p>
    <w:p w:rsidR="00D16E70" w:rsidRPr="00535E45" w:rsidRDefault="00D16E70" w:rsidP="00D16E70">
      <w:pPr>
        <w:numPr>
          <w:ilvl w:val="0"/>
          <w:numId w:val="6"/>
        </w:numPr>
        <w:shd w:val="clear" w:color="auto" w:fill="FFFFFF"/>
        <w:spacing w:line="226" w:lineRule="exact"/>
        <w:ind w:left="426" w:right="77"/>
        <w:jc w:val="both"/>
        <w:rPr>
          <w:color w:val="000000"/>
        </w:rPr>
      </w:pPr>
      <w:r w:rsidRPr="00535E45">
        <w:rPr>
          <w:color w:val="000000"/>
        </w:rPr>
        <w:t xml:space="preserve">Lineární trend globálních průměrů kombinované teploty povrchu souše a oceánu vykazuje oteplení o 0,85 </w:t>
      </w:r>
      <w:r w:rsidRPr="00535E45">
        <w:rPr>
          <w:color w:val="000000"/>
          <w:spacing w:val="14"/>
        </w:rPr>
        <w:t>[0,65 až 1,06]</w:t>
      </w:r>
      <w:r w:rsidRPr="00535E45">
        <w:rPr>
          <w:color w:val="000000"/>
        </w:rPr>
        <w:t>°C</w:t>
      </w:r>
      <w:r w:rsidRPr="00535E45">
        <w:rPr>
          <w:rStyle w:val="Znakapoznpodarou"/>
          <w:color w:val="000000"/>
        </w:rPr>
        <w:footnoteReference w:id="3"/>
      </w:r>
      <w:r w:rsidRPr="00535E45">
        <w:rPr>
          <w:color w:val="000000"/>
        </w:rPr>
        <w:t xml:space="preserve"> za období 1880-2012, za které existuje několik nezávisle vytvořených datových souborů. Celkové zvýšení mezi průměrem za období 1850-1900 a za období 2003-2012 je </w:t>
      </w:r>
      <w:r w:rsidRPr="00535E45">
        <w:rPr>
          <w:color w:val="000000"/>
          <w:spacing w:val="14"/>
        </w:rPr>
        <w:t>0,78 [0,72 až 0,85]°C, a to na základě jednoho nejdelšího dostupného datového souboru</w:t>
      </w:r>
      <w:r w:rsidRPr="00535E45">
        <w:rPr>
          <w:rStyle w:val="Znakapoznpodarou"/>
          <w:color w:val="000000"/>
          <w:spacing w:val="14"/>
        </w:rPr>
        <w:footnoteReference w:id="4"/>
      </w:r>
      <w:r w:rsidRPr="00535E45">
        <w:rPr>
          <w:color w:val="000000"/>
          <w:spacing w:val="6"/>
        </w:rPr>
        <w:t>. (obr. SPM.1) {2.4}</w:t>
      </w:r>
    </w:p>
    <w:p w:rsidR="00D16E70" w:rsidRPr="00535E45" w:rsidRDefault="00D16E70" w:rsidP="00D16E70">
      <w:pPr>
        <w:shd w:val="clear" w:color="auto" w:fill="FFFFFF"/>
        <w:spacing w:line="226" w:lineRule="exact"/>
        <w:ind w:left="426" w:right="77"/>
        <w:jc w:val="both"/>
        <w:rPr>
          <w:color w:val="000000"/>
        </w:rPr>
      </w:pPr>
    </w:p>
    <w:p w:rsidR="00D16E70" w:rsidRPr="00535E45" w:rsidRDefault="00D16E70" w:rsidP="00D16E70">
      <w:pPr>
        <w:numPr>
          <w:ilvl w:val="0"/>
          <w:numId w:val="6"/>
        </w:numPr>
        <w:shd w:val="clear" w:color="auto" w:fill="FFFFFF"/>
        <w:spacing w:line="226" w:lineRule="exact"/>
        <w:ind w:left="426" w:right="77"/>
        <w:jc w:val="both"/>
        <w:rPr>
          <w:color w:val="000000"/>
        </w:rPr>
      </w:pPr>
      <w:r w:rsidRPr="00535E45">
        <w:rPr>
          <w:color w:val="000000"/>
        </w:rPr>
        <w:t>Za nejdelší období, kdy je výpočet regionálních trendů dostatečně úplný (1901-2012), bylo na téměř celé zeměkouli zaznamenáno oteplení povrchu. (obr. SPM.1) {2.4}</w:t>
      </w:r>
    </w:p>
    <w:p w:rsidR="00D16E70" w:rsidRPr="00535E45" w:rsidRDefault="00D16E70" w:rsidP="00D16E70">
      <w:pPr>
        <w:shd w:val="clear" w:color="auto" w:fill="FFFFFF"/>
        <w:spacing w:line="226" w:lineRule="exact"/>
        <w:ind w:left="426" w:right="77"/>
        <w:jc w:val="both"/>
        <w:rPr>
          <w:color w:val="000000"/>
        </w:rPr>
      </w:pPr>
    </w:p>
    <w:p w:rsidR="00D16E70" w:rsidRPr="00535E45" w:rsidRDefault="00D16E70" w:rsidP="00D16E70">
      <w:pPr>
        <w:numPr>
          <w:ilvl w:val="0"/>
          <w:numId w:val="6"/>
        </w:numPr>
        <w:shd w:val="clear" w:color="auto" w:fill="FFFFFF"/>
        <w:spacing w:line="226" w:lineRule="exact"/>
        <w:ind w:left="426" w:right="77"/>
        <w:jc w:val="both"/>
        <w:rPr>
          <w:color w:val="000000"/>
        </w:rPr>
      </w:pPr>
      <w:r w:rsidRPr="00535E45">
        <w:rPr>
          <w:color w:val="000000"/>
        </w:rPr>
        <w:t>Kromě robustního oteplení za několik dekád vykazuje globální průměrná teplota při povrchu značnou mezidekádní a meziroční variabilitu (viz obr. SPM.1). S ohledem na přirozenou variabilitu jsou trendy, vycházející z krátkodobých záznamů, velmi citlivé na počáteční a koncová data a obecně neodrážejí dlouhodobé klimatické trendy. Jako příklad lze uvést rychlost oteplování za období posledních 15 let (1998-2012; 0,05 [-0,05 až +0</w:t>
      </w:r>
      <w:r w:rsidR="00535E45">
        <w:rPr>
          <w:color w:val="000000"/>
        </w:rPr>
        <w:t>,</w:t>
      </w:r>
      <w:r w:rsidRPr="00535E45">
        <w:rPr>
          <w:color w:val="000000"/>
        </w:rPr>
        <w:t>15]°C za dekádu), které začíná silným jevem El Niño, a která je menší než rychlost oteplení spočítaná od roku 1951 (1951-2012; 0,12 [0,08 až 0,14]°C za dekádu)</w:t>
      </w:r>
      <w:r w:rsidRPr="00535E45">
        <w:rPr>
          <w:rStyle w:val="Znakapoznpodarou"/>
          <w:color w:val="000000"/>
        </w:rPr>
        <w:footnoteReference w:id="5"/>
      </w:r>
      <w:r w:rsidRPr="00535E45">
        <w:rPr>
          <w:color w:val="000000"/>
        </w:rPr>
        <w:t>. {2.4}</w:t>
      </w:r>
    </w:p>
    <w:p w:rsidR="00D16E70" w:rsidRPr="00535E45" w:rsidRDefault="00D16E70" w:rsidP="00D16E70">
      <w:pPr>
        <w:pStyle w:val="Odstavecseseznamem"/>
        <w:ind w:left="426"/>
        <w:rPr>
          <w:color w:val="000000"/>
        </w:rPr>
      </w:pPr>
    </w:p>
    <w:p w:rsidR="00D16E70" w:rsidRPr="00535E45" w:rsidRDefault="00D16E70" w:rsidP="00D16E70">
      <w:pPr>
        <w:numPr>
          <w:ilvl w:val="0"/>
          <w:numId w:val="6"/>
        </w:numPr>
        <w:shd w:val="clear" w:color="auto" w:fill="FFFFFF"/>
        <w:spacing w:line="226" w:lineRule="exact"/>
        <w:ind w:left="426" w:right="77"/>
        <w:jc w:val="both"/>
        <w:rPr>
          <w:color w:val="000000"/>
        </w:rPr>
      </w:pPr>
      <w:r w:rsidRPr="00535E45">
        <w:rPr>
          <w:color w:val="000000"/>
        </w:rPr>
        <w:t>Rekonstrukce teploty při povrchu v měřítku kontinentů ukazují s </w:t>
      </w:r>
      <w:r w:rsidRPr="00535E45">
        <w:rPr>
          <w:i/>
          <w:color w:val="000000"/>
        </w:rPr>
        <w:t>vysokou spolehlivostí</w:t>
      </w:r>
      <w:r w:rsidRPr="00535E45">
        <w:rPr>
          <w:color w:val="000000"/>
        </w:rPr>
        <w:t xml:space="preserve"> období trvající několik desetiletí v průběhu středověké klimatické anomálie (v letech 950 až 1250), která byla v některých oblastech stejně teplá jako konec 20. století. Tato regionální teplá období se nevyskytovala stejně koherentně ve všech oblastech jako oteplení koncem 20. století (</w:t>
      </w:r>
      <w:r w:rsidRPr="00535E45">
        <w:rPr>
          <w:i/>
          <w:color w:val="000000"/>
        </w:rPr>
        <w:t>vysoká spolehlivost</w:t>
      </w:r>
      <w:r w:rsidRPr="00535E45">
        <w:rPr>
          <w:color w:val="000000"/>
        </w:rPr>
        <w:t>). {5.5}</w:t>
      </w:r>
    </w:p>
    <w:p w:rsidR="00D16E70" w:rsidRPr="00535E45" w:rsidRDefault="00D16E70" w:rsidP="00D16E70">
      <w:pPr>
        <w:pStyle w:val="Odstavecseseznamem"/>
        <w:ind w:left="426"/>
        <w:rPr>
          <w:color w:val="000000"/>
        </w:rPr>
      </w:pPr>
    </w:p>
    <w:p w:rsidR="00D16E70" w:rsidRPr="00535E45" w:rsidRDefault="00D16E70" w:rsidP="00D16E70">
      <w:pPr>
        <w:numPr>
          <w:ilvl w:val="0"/>
          <w:numId w:val="6"/>
        </w:numPr>
        <w:shd w:val="clear" w:color="auto" w:fill="FFFFFF"/>
        <w:spacing w:line="226" w:lineRule="exact"/>
        <w:ind w:left="426" w:right="77"/>
        <w:jc w:val="both"/>
        <w:rPr>
          <w:color w:val="000000"/>
        </w:rPr>
      </w:pPr>
      <w:r w:rsidRPr="00535E45">
        <w:rPr>
          <w:color w:val="000000"/>
        </w:rPr>
        <w:t xml:space="preserve">Je </w:t>
      </w:r>
      <w:r w:rsidRPr="00535E45">
        <w:rPr>
          <w:i/>
          <w:color w:val="000000"/>
        </w:rPr>
        <w:t>prakticky jisté</w:t>
      </w:r>
      <w:r w:rsidRPr="00535E45">
        <w:rPr>
          <w:color w:val="000000"/>
        </w:rPr>
        <w:t>, že troposféra se od poloviny 20. století globálně oteplila. Úplnější pozorování umožňují provádět odhady změn troposférické teploty s větší spolehlivostí na severní polokouli mimo tropické oblasti než jinde. Rychlost oteplení a její vertikální struktura v troposféře severní polokoule mimo tropické oblasti</w:t>
      </w:r>
      <w:r w:rsidRPr="00535E45">
        <w:rPr>
          <w:i/>
          <w:color w:val="000000"/>
        </w:rPr>
        <w:t xml:space="preserve"> </w:t>
      </w:r>
      <w:r w:rsidRPr="00535E45">
        <w:rPr>
          <w:color w:val="000000"/>
        </w:rPr>
        <w:t xml:space="preserve">je zde stanovena se </w:t>
      </w:r>
      <w:r w:rsidRPr="00535E45">
        <w:rPr>
          <w:i/>
          <w:color w:val="000000"/>
        </w:rPr>
        <w:t>střední spolehlivostí</w:t>
      </w:r>
      <w:r w:rsidRPr="00535E45">
        <w:rPr>
          <w:color w:val="000000"/>
        </w:rPr>
        <w:t xml:space="preserve"> a jinde s </w:t>
      </w:r>
      <w:r w:rsidRPr="00535E45">
        <w:rPr>
          <w:i/>
          <w:color w:val="000000"/>
        </w:rPr>
        <w:t>nízkou spolehlivostí</w:t>
      </w:r>
      <w:r w:rsidRPr="00535E45">
        <w:rPr>
          <w:color w:val="000000"/>
        </w:rPr>
        <w:t>. {2.4}</w:t>
      </w:r>
    </w:p>
    <w:p w:rsidR="00D16E70" w:rsidRPr="00535E45" w:rsidRDefault="00D16E70" w:rsidP="00D16E70">
      <w:pPr>
        <w:pStyle w:val="Odstavecseseznamem"/>
        <w:ind w:left="426"/>
        <w:rPr>
          <w:color w:val="000000"/>
        </w:rPr>
      </w:pPr>
    </w:p>
    <w:p w:rsidR="00D16E70" w:rsidRPr="00535E45" w:rsidRDefault="00D16E70" w:rsidP="00D16E70">
      <w:pPr>
        <w:numPr>
          <w:ilvl w:val="0"/>
          <w:numId w:val="6"/>
        </w:numPr>
        <w:shd w:val="clear" w:color="auto" w:fill="FFFFFF"/>
        <w:spacing w:line="226" w:lineRule="exact"/>
        <w:ind w:left="426" w:right="77"/>
        <w:jc w:val="both"/>
        <w:rPr>
          <w:color w:val="000000"/>
        </w:rPr>
      </w:pPr>
      <w:r w:rsidRPr="00535E45">
        <w:rPr>
          <w:i/>
          <w:color w:val="000000"/>
        </w:rPr>
        <w:t xml:space="preserve">Spolehlivost </w:t>
      </w:r>
      <w:r w:rsidRPr="00535E45">
        <w:rPr>
          <w:color w:val="000000"/>
        </w:rPr>
        <w:t xml:space="preserve">změny srážek globálně zprůměrovaných přes pevniny od roku 1901 je do roku 1951 </w:t>
      </w:r>
      <w:r w:rsidRPr="00535E45">
        <w:rPr>
          <w:i/>
          <w:color w:val="000000"/>
        </w:rPr>
        <w:t>nízká</w:t>
      </w:r>
      <w:r w:rsidRPr="00535E45">
        <w:rPr>
          <w:color w:val="000000"/>
        </w:rPr>
        <w:t xml:space="preserve"> a poté </w:t>
      </w:r>
      <w:r w:rsidRPr="00535E45">
        <w:rPr>
          <w:i/>
          <w:color w:val="000000"/>
        </w:rPr>
        <w:t>střední</w:t>
      </w:r>
      <w:r w:rsidRPr="00535E45">
        <w:rPr>
          <w:color w:val="000000"/>
        </w:rPr>
        <w:t>. Srážková činnost, zprůměrovaná přes pevninské oblasti středních šířek severní polokoule, se od roku 1901 zvýšila (</w:t>
      </w:r>
      <w:r w:rsidRPr="00535E45">
        <w:rPr>
          <w:i/>
          <w:color w:val="000000"/>
        </w:rPr>
        <w:t xml:space="preserve">střední spolehlivost </w:t>
      </w:r>
      <w:r w:rsidRPr="00535E45">
        <w:rPr>
          <w:color w:val="000000"/>
        </w:rPr>
        <w:t xml:space="preserve">před a </w:t>
      </w:r>
      <w:r w:rsidRPr="00535E45">
        <w:rPr>
          <w:i/>
          <w:color w:val="000000"/>
        </w:rPr>
        <w:t xml:space="preserve">vysoká spolehlivost </w:t>
      </w:r>
      <w:r w:rsidRPr="00535E45">
        <w:rPr>
          <w:color w:val="000000"/>
        </w:rPr>
        <w:t xml:space="preserve">po roce 1951). V jiných zeměpisných šířkách mají dlouhodobé pozitivní či negativní trendy průměrných srážek v jednotlivých oblastech </w:t>
      </w:r>
      <w:r w:rsidRPr="00535E45">
        <w:rPr>
          <w:i/>
          <w:color w:val="000000"/>
        </w:rPr>
        <w:t xml:space="preserve">nízkou spolehlivost </w:t>
      </w:r>
      <w:r w:rsidRPr="00535E45">
        <w:rPr>
          <w:color w:val="000000"/>
        </w:rPr>
        <w:t>(obr. SPM.2)</w:t>
      </w:r>
      <w:r w:rsidRPr="00535E45">
        <w:rPr>
          <w:i/>
          <w:color w:val="000000"/>
        </w:rPr>
        <w:t xml:space="preserve"> </w:t>
      </w:r>
      <w:r w:rsidRPr="00535E45">
        <w:rPr>
          <w:color w:val="000000"/>
        </w:rPr>
        <w:t>{TS TFE.1, obr.</w:t>
      </w:r>
      <w:r w:rsidR="00E06912">
        <w:rPr>
          <w:color w:val="000000"/>
        </w:rPr>
        <w:t xml:space="preserve"> </w:t>
      </w:r>
      <w:r w:rsidRPr="00535E45">
        <w:rPr>
          <w:color w:val="000000"/>
        </w:rPr>
        <w:t>2</w:t>
      </w:r>
      <w:r w:rsidRPr="00535E45">
        <w:rPr>
          <w:color w:val="000000"/>
          <w:lang w:val="en-US"/>
        </w:rPr>
        <w:t xml:space="preserve">; </w:t>
      </w:r>
      <w:r w:rsidRPr="00535E45">
        <w:rPr>
          <w:color w:val="000000"/>
        </w:rPr>
        <w:t>2.5}.</w:t>
      </w:r>
    </w:p>
    <w:p w:rsidR="00D16E70" w:rsidRPr="00535E45" w:rsidRDefault="00D16E70" w:rsidP="00D16E70">
      <w:pPr>
        <w:pStyle w:val="Odstavecseseznamem"/>
        <w:rPr>
          <w:color w:val="000000"/>
        </w:rPr>
      </w:pPr>
    </w:p>
    <w:p w:rsidR="00D16E70" w:rsidRPr="00535E45" w:rsidRDefault="00D16E70" w:rsidP="00535E45">
      <w:pPr>
        <w:pStyle w:val="Odstavecseseznamem"/>
        <w:numPr>
          <w:ilvl w:val="0"/>
          <w:numId w:val="8"/>
        </w:numPr>
        <w:jc w:val="both"/>
      </w:pPr>
      <w:r w:rsidRPr="00535E45">
        <w:t xml:space="preserve">Zhruba od roku 1950 byly pozorovány změny u mnoha extrémních </w:t>
      </w:r>
      <w:r w:rsidRPr="00535E45">
        <w:rPr>
          <w:spacing w:val="-10"/>
        </w:rPr>
        <w:t>povětrnostní</w:t>
      </w:r>
      <w:r w:rsidRPr="00535E45">
        <w:t>ch a klimatických jevů (podrobnosti uvedeny v</w:t>
      </w:r>
      <w:r w:rsidR="00535E45">
        <w:t> </w:t>
      </w:r>
      <w:r w:rsidRPr="00535E45">
        <w:t>tab</w:t>
      </w:r>
      <w:r w:rsidR="00535E45">
        <w:t xml:space="preserve">. </w:t>
      </w:r>
      <w:r w:rsidRPr="00535E45">
        <w:t xml:space="preserve">SPM.1). Je velmi </w:t>
      </w:r>
      <w:r w:rsidRPr="00535E45">
        <w:rPr>
          <w:i/>
        </w:rPr>
        <w:t>pravděpodobné</w:t>
      </w:r>
      <w:r w:rsidRPr="00535E45">
        <w:t>, že se v globálním měřítku počet chladných dnů a nocí snížil a počet teplých dnů a nocí zvýšil</w:t>
      </w:r>
      <w:r w:rsidRPr="00535E45">
        <w:rPr>
          <w:rStyle w:val="Znakapoznpodarou"/>
          <w:color w:val="000000"/>
          <w:spacing w:val="-13"/>
        </w:rPr>
        <w:footnoteReference w:id="6"/>
      </w:r>
      <w:r w:rsidRPr="00535E45">
        <w:t xml:space="preserve">. Je </w:t>
      </w:r>
      <w:r w:rsidRPr="00535E45">
        <w:rPr>
          <w:i/>
        </w:rPr>
        <w:t>pravděpodobné</w:t>
      </w:r>
      <w:r w:rsidRPr="00535E45">
        <w:t xml:space="preserve">, že se ve velkých částech Evropy, Asie a Austrálie zvýšila četnost horkých vln. </w:t>
      </w:r>
      <w:r w:rsidRPr="00535E45">
        <w:rPr>
          <w:i/>
        </w:rPr>
        <w:t>Pravděpodobně</w:t>
      </w:r>
      <w:r w:rsidRPr="00535E45">
        <w:t xml:space="preserve"> existuje více pevninských oblastí, kde se četnost výskytu silných srážek zvýšila, než oblastí, kde se snížila. Četnost či intenzita silných srážek se </w:t>
      </w:r>
      <w:r w:rsidRPr="00535E45">
        <w:rPr>
          <w:i/>
        </w:rPr>
        <w:t>pravděpodobně</w:t>
      </w:r>
      <w:r w:rsidRPr="00535E45">
        <w:t xml:space="preserve"> zvýšila v Severní Americe a Evropě. Na jiných kontinentech je spolehlivost změn četnosti silných srážek maximálně </w:t>
      </w:r>
      <w:r w:rsidRPr="00535E45">
        <w:rPr>
          <w:i/>
        </w:rPr>
        <w:t>střední.</w:t>
      </w:r>
      <w:r w:rsidRPr="00535E45">
        <w:t xml:space="preserve"> {2.6} </w:t>
      </w:r>
    </w:p>
    <w:p w:rsidR="00632BCD" w:rsidRDefault="00D16E70" w:rsidP="00BF792E">
      <w:pPr>
        <w:ind w:left="426" w:hanging="360"/>
        <w:jc w:val="center"/>
        <w:rPr>
          <w:sz w:val="28"/>
          <w:szCs w:val="28"/>
        </w:rPr>
      </w:pPr>
      <w:r w:rsidRPr="001140FE">
        <w:rPr>
          <w:rFonts w:ascii="Calibri" w:hAnsi="Calibri"/>
          <w:color w:val="000000"/>
          <w:sz w:val="22"/>
          <w:szCs w:val="22"/>
        </w:rPr>
        <w:br/>
      </w:r>
      <w:r w:rsidR="00BF792E">
        <w:rPr>
          <w:noProof/>
          <w:sz w:val="28"/>
          <w:szCs w:val="28"/>
        </w:rPr>
        <w:lastRenderedPageBreak/>
        <w:drawing>
          <wp:inline distT="0" distB="0" distL="0" distR="0">
            <wp:extent cx="4248912" cy="7537704"/>
            <wp:effectExtent l="19050" t="0" r="0" b="0"/>
            <wp:docPr id="2" name="Obrázek 1" descr="SPM Fig1_final-C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M Fig1_final-CZ.jpg"/>
                    <pic:cNvPicPr/>
                  </pic:nvPicPr>
                  <pic:blipFill>
                    <a:blip r:embed="rId12" cstate="print"/>
                    <a:stretch>
                      <a:fillRect/>
                    </a:stretch>
                  </pic:blipFill>
                  <pic:spPr>
                    <a:xfrm>
                      <a:off x="0" y="0"/>
                      <a:ext cx="4248912" cy="7537704"/>
                    </a:xfrm>
                    <a:prstGeom prst="rect">
                      <a:avLst/>
                    </a:prstGeom>
                  </pic:spPr>
                </pic:pic>
              </a:graphicData>
            </a:graphic>
          </wp:inline>
        </w:drawing>
      </w:r>
    </w:p>
    <w:p w:rsidR="00AA2AEB" w:rsidRDefault="00AA2AEB" w:rsidP="00BF792E">
      <w:pPr>
        <w:pStyle w:val="Bezmezer"/>
        <w:rPr>
          <w:sz w:val="16"/>
          <w:szCs w:val="16"/>
        </w:rPr>
      </w:pPr>
    </w:p>
    <w:p w:rsidR="00BF792E" w:rsidRPr="00BF792E" w:rsidRDefault="00BF792E" w:rsidP="00621467">
      <w:pPr>
        <w:pStyle w:val="Bezmezer"/>
        <w:jc w:val="both"/>
      </w:pPr>
      <w:r w:rsidRPr="00AA2AEB">
        <w:rPr>
          <w:b/>
          <w:sz w:val="16"/>
          <w:szCs w:val="16"/>
        </w:rPr>
        <w:t>Obr</w:t>
      </w:r>
      <w:r w:rsidR="00AA2AEB" w:rsidRPr="00AA2AEB">
        <w:rPr>
          <w:b/>
          <w:sz w:val="16"/>
          <w:szCs w:val="16"/>
        </w:rPr>
        <w:t>.</w:t>
      </w:r>
      <w:r w:rsidRPr="00AA2AEB">
        <w:rPr>
          <w:b/>
          <w:sz w:val="16"/>
          <w:szCs w:val="16"/>
        </w:rPr>
        <w:t xml:space="preserve"> SPM.1</w:t>
      </w:r>
      <w:r w:rsidRPr="00BF792E">
        <w:rPr>
          <w:sz w:val="16"/>
          <w:szCs w:val="16"/>
        </w:rPr>
        <w:t xml:space="preserve">: (a) Pozorované anomálie kombinované průměrné globální teploty povrchu souše a oceánu, od roku 1850 do roku 2012 ze tří souborů dat. Horní panel: roční průměrné hodnoty, dolní panel: průměrné dekádní hodnoty včetně odhadu neurčitosti u jednoho souboru dat (černá křivka). Anomálie jsou vztaženy k průměru za období 1961-1990. (b) Mapa pozorovaných změn teploty povrchu od roku 1901 do roku 2012 odvozená z teplotních trendů stanovených lineární regresí z jednoho souboru dat (oranžová křivka na panelu a). Trendy byly počítány, pokud dostupná data umožňovala robustní odhad (tj. pouze u gridových boxů s více než 70 % pokrytím období daty a více než 20% dostupných dat v prvních a posledních 10 % časového období). Ostatní oblasti jsou bílé. Gridové boxy, u nichž je trend významný na 10% úrovni, jsou označeny symbolem +. Seznam datových souborů a další odborné informace jsou uvedeny v Dodatku k Technical </w:t>
      </w:r>
      <w:r w:rsidR="00257328">
        <w:rPr>
          <w:sz w:val="16"/>
          <w:szCs w:val="16"/>
        </w:rPr>
        <w:t>Summary</w:t>
      </w:r>
      <w:r w:rsidRPr="00BF792E">
        <w:rPr>
          <w:sz w:val="16"/>
          <w:szCs w:val="16"/>
        </w:rPr>
        <w:t>. {obr. 2.19-2.21; obr.</w:t>
      </w:r>
      <w:r w:rsidRPr="00BF792E">
        <w:t xml:space="preserve"> </w:t>
      </w:r>
      <w:r w:rsidRPr="00BF792E">
        <w:rPr>
          <w:sz w:val="16"/>
          <w:szCs w:val="16"/>
        </w:rPr>
        <w:t>TS.2}</w:t>
      </w:r>
      <w:r w:rsidRPr="00BF792E">
        <w:t xml:space="preserve"> </w:t>
      </w:r>
    </w:p>
    <w:p w:rsidR="00BF792E" w:rsidRDefault="00BF792E" w:rsidP="00D16E70">
      <w:pPr>
        <w:ind w:left="426" w:hanging="360"/>
        <w:rPr>
          <w:sz w:val="28"/>
          <w:szCs w:val="28"/>
        </w:rPr>
      </w:pPr>
    </w:p>
    <w:p w:rsidR="00AA2AEB" w:rsidRDefault="00AA2AEB" w:rsidP="00D16E70">
      <w:pPr>
        <w:ind w:left="426" w:hanging="360"/>
        <w:rPr>
          <w:sz w:val="28"/>
          <w:szCs w:val="28"/>
        </w:rPr>
        <w:sectPr w:rsidR="00AA2AEB" w:rsidSect="001641F4">
          <w:footerReference w:type="default" r:id="rId13"/>
          <w:pgSz w:w="11906" w:h="16838"/>
          <w:pgMar w:top="1083" w:right="1440" w:bottom="1083" w:left="1440" w:header="708" w:footer="708" w:gutter="0"/>
          <w:cols w:space="708"/>
          <w:docGrid w:linePitch="360"/>
        </w:sectPr>
      </w:pPr>
    </w:p>
    <w:p w:rsidR="00621467" w:rsidRPr="004D1724" w:rsidRDefault="00621467" w:rsidP="00257328">
      <w:pPr>
        <w:shd w:val="clear" w:color="auto" w:fill="FFFFFF"/>
        <w:jc w:val="both"/>
        <w:rPr>
          <w:color w:val="000000"/>
          <w:spacing w:val="-10"/>
          <w:sz w:val="16"/>
          <w:szCs w:val="16"/>
        </w:rPr>
      </w:pPr>
      <w:r w:rsidRPr="004D1724">
        <w:rPr>
          <w:b/>
          <w:bCs/>
          <w:color w:val="000000"/>
          <w:spacing w:val="-10"/>
          <w:sz w:val="16"/>
          <w:szCs w:val="16"/>
        </w:rPr>
        <w:lastRenderedPageBreak/>
        <w:t>Tab</w:t>
      </w:r>
      <w:r w:rsidR="002900DC">
        <w:rPr>
          <w:b/>
          <w:bCs/>
          <w:color w:val="000000"/>
          <w:spacing w:val="-10"/>
          <w:sz w:val="16"/>
          <w:szCs w:val="16"/>
        </w:rPr>
        <w:t>.</w:t>
      </w:r>
      <w:r w:rsidRPr="004D1724">
        <w:rPr>
          <w:b/>
          <w:bCs/>
          <w:color w:val="000000"/>
          <w:spacing w:val="-10"/>
          <w:sz w:val="16"/>
          <w:szCs w:val="16"/>
        </w:rPr>
        <w:t xml:space="preserve"> SPM.1: </w:t>
      </w:r>
      <w:r w:rsidRPr="004D1724">
        <w:rPr>
          <w:color w:val="000000"/>
          <w:spacing w:val="-10"/>
          <w:sz w:val="16"/>
          <w:szCs w:val="16"/>
        </w:rPr>
        <w:t>Extrémní povětrnostní a klimatické jevy: Hodnocení nedávno pozorovaných změn v globálním měřítku, lidský příspěvek k těmto změnám a projekce dalších změn pro začátek (2016-2035) a konec (2081-2100) 21. století. Tučně uvedené údaje označují, kde Pátá hodnotící zpráva (černě) obsahuje revidované hodnocení v globálním měřítku oproti zprávě SREX (modře) nebo Čtvrté hodnotící zprávě (červeně). Projekce pro začátek 21. století nebyly v předchozích hodnotících zprávách uvedeny. Projekce v Páté hodnotící zprávě se vztahují k referenčnímu období 1986-2005 a používají nové scénáře Representative Concentration Pathway (RCP) (viz box SPM.1), pokud není uvedeno jinak. Definice extrémních povětrnostních a klimatických jevů jsou uvedeny ve Slovníčku (Příloha III Zprávy)</w:t>
      </w:r>
    </w:p>
    <w:p w:rsidR="00621467" w:rsidRPr="001140FE" w:rsidRDefault="00621467" w:rsidP="00F17C34">
      <w:pPr>
        <w:spacing w:after="245" w:line="1" w:lineRule="exact"/>
        <w:rPr>
          <w:rFonts w:ascii="Calibri" w:hAnsi="Calibri" w:cs="Times New Roman"/>
          <w:sz w:val="22"/>
          <w:szCs w:val="22"/>
        </w:rPr>
      </w:pPr>
    </w:p>
    <w:tbl>
      <w:tblPr>
        <w:tblStyle w:val="Mkatabulky"/>
        <w:tblW w:w="14530" w:type="dxa"/>
        <w:tblInd w:w="392" w:type="dxa"/>
        <w:tblLayout w:type="fixed"/>
        <w:tblLook w:val="04A0" w:firstRow="1" w:lastRow="0" w:firstColumn="1" w:lastColumn="0" w:noHBand="0" w:noVBand="1"/>
      </w:tblPr>
      <w:tblGrid>
        <w:gridCol w:w="2891"/>
        <w:gridCol w:w="2856"/>
        <w:gridCol w:w="2856"/>
        <w:gridCol w:w="2856"/>
        <w:gridCol w:w="3071"/>
      </w:tblGrid>
      <w:tr w:rsidR="00E12742" w:rsidRPr="00C04CD9" w:rsidTr="005C7041">
        <w:trPr>
          <w:trHeight w:val="306"/>
        </w:trPr>
        <w:tc>
          <w:tcPr>
            <w:tcW w:w="2891" w:type="dxa"/>
            <w:vMerge w:val="restart"/>
            <w:shd w:val="clear" w:color="auto" w:fill="DBE5F1" w:themeFill="accent1" w:themeFillTint="33"/>
            <w:vAlign w:val="center"/>
          </w:tcPr>
          <w:p w:rsidR="00905978" w:rsidRPr="00E12742" w:rsidRDefault="00905978" w:rsidP="005C7041">
            <w:pPr>
              <w:rPr>
                <w:b/>
                <w:sz w:val="12"/>
                <w:szCs w:val="12"/>
              </w:rPr>
            </w:pPr>
            <w:r w:rsidRPr="00E12742">
              <w:rPr>
                <w:b/>
                <w:color w:val="000000"/>
                <w:spacing w:val="-4"/>
                <w:sz w:val="12"/>
                <w:szCs w:val="12"/>
              </w:rPr>
              <w:t>Jev a směr</w:t>
            </w:r>
            <w:r w:rsidRPr="00E12742">
              <w:rPr>
                <w:b/>
                <w:color w:val="000000"/>
                <w:spacing w:val="-2"/>
                <w:sz w:val="12"/>
                <w:szCs w:val="12"/>
              </w:rPr>
              <w:t xml:space="preserve"> trendu</w:t>
            </w:r>
          </w:p>
        </w:tc>
        <w:tc>
          <w:tcPr>
            <w:tcW w:w="2856" w:type="dxa"/>
            <w:vMerge w:val="restart"/>
            <w:shd w:val="clear" w:color="auto" w:fill="DBE5F1" w:themeFill="accent1" w:themeFillTint="33"/>
            <w:vAlign w:val="center"/>
          </w:tcPr>
          <w:p w:rsidR="00905978" w:rsidRPr="00E12742" w:rsidRDefault="00905978" w:rsidP="005C7041">
            <w:pPr>
              <w:rPr>
                <w:b/>
                <w:sz w:val="12"/>
                <w:szCs w:val="12"/>
              </w:rPr>
            </w:pPr>
            <w:r w:rsidRPr="00E12742">
              <w:rPr>
                <w:b/>
                <w:color w:val="000000"/>
                <w:spacing w:val="-5"/>
                <w:sz w:val="12"/>
                <w:szCs w:val="12"/>
              </w:rPr>
              <w:t xml:space="preserve">Hodnocení, že ke změnám došlo </w:t>
            </w:r>
            <w:r w:rsidRPr="00E12742">
              <w:rPr>
                <w:b/>
                <w:color w:val="000000"/>
                <w:spacing w:val="-6"/>
                <w:sz w:val="12"/>
                <w:szCs w:val="12"/>
              </w:rPr>
              <w:t>(obvykle od roku 1950, pokud není uvedeno jinak</w:t>
            </w:r>
            <w:r w:rsidRPr="00E12742">
              <w:rPr>
                <w:b/>
                <w:color w:val="000000"/>
                <w:spacing w:val="-4"/>
                <w:sz w:val="12"/>
                <w:szCs w:val="12"/>
              </w:rPr>
              <w:t>)</w:t>
            </w:r>
          </w:p>
        </w:tc>
        <w:tc>
          <w:tcPr>
            <w:tcW w:w="2856" w:type="dxa"/>
            <w:vMerge w:val="restart"/>
            <w:shd w:val="clear" w:color="auto" w:fill="DBE5F1" w:themeFill="accent1" w:themeFillTint="33"/>
            <w:vAlign w:val="center"/>
          </w:tcPr>
          <w:p w:rsidR="00905978" w:rsidRPr="00E12742" w:rsidRDefault="00905978" w:rsidP="005C7041">
            <w:pPr>
              <w:rPr>
                <w:b/>
                <w:sz w:val="12"/>
                <w:szCs w:val="12"/>
              </w:rPr>
            </w:pPr>
            <w:r w:rsidRPr="00E12742">
              <w:rPr>
                <w:b/>
                <w:color w:val="000000"/>
                <w:spacing w:val="-6"/>
                <w:sz w:val="12"/>
                <w:szCs w:val="12"/>
              </w:rPr>
              <w:t>Hodnocení lidského příspěvku k pozorovaným změnám</w:t>
            </w:r>
          </w:p>
        </w:tc>
        <w:tc>
          <w:tcPr>
            <w:tcW w:w="5927" w:type="dxa"/>
            <w:gridSpan w:val="2"/>
            <w:tcBorders>
              <w:bottom w:val="single" w:sz="4" w:space="0" w:color="auto"/>
            </w:tcBorders>
            <w:shd w:val="clear" w:color="auto" w:fill="DBE5F1" w:themeFill="accent1" w:themeFillTint="33"/>
            <w:vAlign w:val="center"/>
          </w:tcPr>
          <w:p w:rsidR="00905978" w:rsidRPr="00E12742" w:rsidRDefault="00905978" w:rsidP="005C7041">
            <w:pPr>
              <w:jc w:val="center"/>
              <w:rPr>
                <w:b/>
                <w:sz w:val="12"/>
                <w:szCs w:val="12"/>
              </w:rPr>
            </w:pPr>
            <w:r w:rsidRPr="00E12742">
              <w:rPr>
                <w:b/>
                <w:color w:val="000000"/>
                <w:spacing w:val="-5"/>
                <w:sz w:val="12"/>
                <w:szCs w:val="12"/>
              </w:rPr>
              <w:t>Pravděpodobnost dalších změn</w:t>
            </w:r>
          </w:p>
        </w:tc>
      </w:tr>
      <w:tr w:rsidR="00C04CD9" w:rsidTr="005C7041">
        <w:trPr>
          <w:trHeight w:val="308"/>
        </w:trPr>
        <w:tc>
          <w:tcPr>
            <w:tcW w:w="2891" w:type="dxa"/>
            <w:vMerge/>
            <w:shd w:val="clear" w:color="auto" w:fill="DBE5F1" w:themeFill="accent1" w:themeFillTint="33"/>
          </w:tcPr>
          <w:p w:rsidR="00905978" w:rsidRPr="00E12742" w:rsidRDefault="00905978" w:rsidP="005C7041">
            <w:pPr>
              <w:rPr>
                <w:b/>
                <w:sz w:val="12"/>
                <w:szCs w:val="12"/>
              </w:rPr>
            </w:pPr>
          </w:p>
        </w:tc>
        <w:tc>
          <w:tcPr>
            <w:tcW w:w="2856" w:type="dxa"/>
            <w:vMerge/>
            <w:tcBorders>
              <w:bottom w:val="single" w:sz="4" w:space="0" w:color="auto"/>
            </w:tcBorders>
          </w:tcPr>
          <w:p w:rsidR="00905978" w:rsidRPr="00E12742" w:rsidRDefault="00905978" w:rsidP="005C7041">
            <w:pPr>
              <w:rPr>
                <w:sz w:val="12"/>
                <w:szCs w:val="12"/>
              </w:rPr>
            </w:pPr>
          </w:p>
        </w:tc>
        <w:tc>
          <w:tcPr>
            <w:tcW w:w="2856" w:type="dxa"/>
            <w:vMerge/>
            <w:tcBorders>
              <w:bottom w:val="single" w:sz="4" w:space="0" w:color="auto"/>
            </w:tcBorders>
          </w:tcPr>
          <w:p w:rsidR="00905978" w:rsidRPr="00E12742" w:rsidRDefault="00905978" w:rsidP="005C7041">
            <w:pPr>
              <w:rPr>
                <w:sz w:val="12"/>
                <w:szCs w:val="12"/>
              </w:rPr>
            </w:pPr>
          </w:p>
        </w:tc>
        <w:tc>
          <w:tcPr>
            <w:tcW w:w="2856" w:type="dxa"/>
            <w:tcBorders>
              <w:bottom w:val="single" w:sz="4" w:space="0" w:color="auto"/>
            </w:tcBorders>
            <w:shd w:val="clear" w:color="auto" w:fill="DBE5F1" w:themeFill="accent1" w:themeFillTint="33"/>
            <w:vAlign w:val="center"/>
          </w:tcPr>
          <w:p w:rsidR="00905978" w:rsidRPr="00E12742" w:rsidRDefault="00905978" w:rsidP="005C7041">
            <w:pPr>
              <w:jc w:val="center"/>
              <w:rPr>
                <w:b/>
                <w:sz w:val="12"/>
                <w:szCs w:val="12"/>
              </w:rPr>
            </w:pPr>
            <w:r w:rsidRPr="00E12742">
              <w:rPr>
                <w:b/>
                <w:color w:val="000000"/>
                <w:spacing w:val="-4"/>
                <w:sz w:val="12"/>
                <w:szCs w:val="12"/>
              </w:rPr>
              <w:t>Začátek 21. století</w:t>
            </w:r>
          </w:p>
        </w:tc>
        <w:tc>
          <w:tcPr>
            <w:tcW w:w="3071" w:type="dxa"/>
            <w:tcBorders>
              <w:bottom w:val="single" w:sz="4" w:space="0" w:color="auto"/>
            </w:tcBorders>
            <w:shd w:val="clear" w:color="auto" w:fill="DBE5F1" w:themeFill="accent1" w:themeFillTint="33"/>
            <w:vAlign w:val="center"/>
          </w:tcPr>
          <w:p w:rsidR="00905978" w:rsidRPr="00E12742" w:rsidRDefault="00905978" w:rsidP="005C7041">
            <w:pPr>
              <w:jc w:val="center"/>
              <w:rPr>
                <w:b/>
                <w:sz w:val="12"/>
                <w:szCs w:val="12"/>
              </w:rPr>
            </w:pPr>
            <w:r w:rsidRPr="00E12742">
              <w:rPr>
                <w:b/>
                <w:color w:val="000000"/>
                <w:spacing w:val="-4"/>
                <w:sz w:val="12"/>
                <w:szCs w:val="12"/>
              </w:rPr>
              <w:t>Konec 21. století</w:t>
            </w:r>
          </w:p>
        </w:tc>
      </w:tr>
      <w:tr w:rsidR="00047E50" w:rsidTr="005C7041">
        <w:tc>
          <w:tcPr>
            <w:tcW w:w="2891" w:type="dxa"/>
            <w:vMerge w:val="restart"/>
            <w:shd w:val="clear" w:color="auto" w:fill="DBE5F1" w:themeFill="accent1" w:themeFillTint="33"/>
            <w:vAlign w:val="center"/>
          </w:tcPr>
          <w:p w:rsidR="00047E50" w:rsidRPr="00E12742" w:rsidRDefault="00047E50" w:rsidP="005C7041">
            <w:pPr>
              <w:rPr>
                <w:b/>
                <w:sz w:val="12"/>
                <w:szCs w:val="12"/>
              </w:rPr>
            </w:pPr>
            <w:r w:rsidRPr="00E12742">
              <w:rPr>
                <w:b/>
                <w:color w:val="000000"/>
                <w:spacing w:val="-1"/>
                <w:sz w:val="12"/>
                <w:szCs w:val="12"/>
              </w:rPr>
              <w:t>Teplejší dny a/nebo méně chladných dnů a nocí nad většinou pevninských oblastí</w:t>
            </w:r>
          </w:p>
        </w:tc>
        <w:tc>
          <w:tcPr>
            <w:tcW w:w="2856" w:type="dxa"/>
            <w:tcBorders>
              <w:bottom w:val="nil"/>
            </w:tcBorders>
            <w:shd w:val="clear" w:color="auto" w:fill="FDE9D9" w:themeFill="accent6" w:themeFillTint="33"/>
          </w:tcPr>
          <w:p w:rsidR="00047E50" w:rsidRPr="00047E50" w:rsidRDefault="00047E50" w:rsidP="005C7041">
            <w:pPr>
              <w:rPr>
                <w:sz w:val="12"/>
                <w:szCs w:val="12"/>
                <w:lang w:val="en-US"/>
              </w:rPr>
            </w:pPr>
            <w:r>
              <w:rPr>
                <w:sz w:val="12"/>
                <w:szCs w:val="12"/>
              </w:rPr>
              <w:t xml:space="preserve">Velmi pravděpodobné                                    </w:t>
            </w:r>
            <w:r>
              <w:rPr>
                <w:sz w:val="12"/>
                <w:szCs w:val="12"/>
                <w:lang w:val="en-US"/>
              </w:rPr>
              <w:t>{2.6}</w:t>
            </w:r>
          </w:p>
        </w:tc>
        <w:tc>
          <w:tcPr>
            <w:tcW w:w="2856" w:type="dxa"/>
            <w:tcBorders>
              <w:bottom w:val="nil"/>
            </w:tcBorders>
            <w:shd w:val="clear" w:color="auto" w:fill="FDE9D9" w:themeFill="accent6" w:themeFillTint="33"/>
          </w:tcPr>
          <w:p w:rsidR="00047E50" w:rsidRPr="00047E50" w:rsidRDefault="00047E50" w:rsidP="005C7041">
            <w:pPr>
              <w:rPr>
                <w:sz w:val="12"/>
                <w:szCs w:val="12"/>
                <w:lang w:val="en-US"/>
              </w:rPr>
            </w:pPr>
            <w:r w:rsidRPr="00047E50">
              <w:rPr>
                <w:b/>
                <w:sz w:val="12"/>
                <w:szCs w:val="12"/>
              </w:rPr>
              <w:t>Velmi pravděpodobné</w:t>
            </w:r>
            <w:r>
              <w:rPr>
                <w:sz w:val="12"/>
                <w:szCs w:val="12"/>
              </w:rPr>
              <w:t xml:space="preserve">      </w:t>
            </w:r>
            <w:r w:rsidRPr="00047E50">
              <w:rPr>
                <w:sz w:val="12"/>
                <w:szCs w:val="12"/>
                <w:lang w:val="en-US"/>
              </w:rPr>
              <w:t xml:space="preserve">                          </w:t>
            </w:r>
            <w:r>
              <w:rPr>
                <w:sz w:val="12"/>
                <w:szCs w:val="12"/>
                <w:lang w:val="en-US"/>
              </w:rPr>
              <w:t>{10.6}</w:t>
            </w:r>
          </w:p>
        </w:tc>
        <w:tc>
          <w:tcPr>
            <w:tcW w:w="2856" w:type="dxa"/>
            <w:tcBorders>
              <w:bottom w:val="nil"/>
            </w:tcBorders>
            <w:shd w:val="clear" w:color="auto" w:fill="FDE9D9" w:themeFill="accent6" w:themeFillTint="33"/>
          </w:tcPr>
          <w:p w:rsidR="00047E50" w:rsidRPr="00047E50" w:rsidRDefault="00047E50" w:rsidP="005C7041">
            <w:pPr>
              <w:rPr>
                <w:sz w:val="12"/>
                <w:szCs w:val="12"/>
                <w:lang w:val="en-US"/>
              </w:rPr>
            </w:pPr>
            <w:r>
              <w:rPr>
                <w:sz w:val="12"/>
                <w:szCs w:val="12"/>
              </w:rPr>
              <w:t xml:space="preserve">Pravděpodobné                                            </w:t>
            </w:r>
            <w:r>
              <w:rPr>
                <w:sz w:val="12"/>
                <w:szCs w:val="12"/>
                <w:lang w:val="en-US"/>
              </w:rPr>
              <w:t>{11.3}</w:t>
            </w:r>
          </w:p>
        </w:tc>
        <w:tc>
          <w:tcPr>
            <w:tcW w:w="3071" w:type="dxa"/>
            <w:tcBorders>
              <w:bottom w:val="nil"/>
            </w:tcBorders>
            <w:shd w:val="clear" w:color="auto" w:fill="FDE9D9" w:themeFill="accent6" w:themeFillTint="33"/>
          </w:tcPr>
          <w:p w:rsidR="00047E50" w:rsidRPr="00047E50" w:rsidRDefault="00047E50" w:rsidP="005C7041">
            <w:pPr>
              <w:rPr>
                <w:sz w:val="12"/>
                <w:szCs w:val="12"/>
                <w:lang w:val="en-US"/>
              </w:rPr>
            </w:pPr>
            <w:r>
              <w:rPr>
                <w:sz w:val="12"/>
                <w:szCs w:val="12"/>
              </w:rPr>
              <w:t xml:space="preserve">Prakticky jisté                                                      </w:t>
            </w:r>
            <w:r>
              <w:rPr>
                <w:sz w:val="12"/>
                <w:szCs w:val="12"/>
                <w:lang w:val="en-US"/>
              </w:rPr>
              <w:t>{12.4}</w:t>
            </w:r>
          </w:p>
        </w:tc>
      </w:tr>
      <w:tr w:rsidR="00E12742" w:rsidTr="005C7041">
        <w:tc>
          <w:tcPr>
            <w:tcW w:w="2891" w:type="dxa"/>
            <w:vMerge/>
            <w:shd w:val="clear" w:color="auto" w:fill="DBE5F1" w:themeFill="accent1" w:themeFillTint="33"/>
            <w:vAlign w:val="center"/>
          </w:tcPr>
          <w:p w:rsidR="00905978" w:rsidRPr="00E12742" w:rsidRDefault="00905978" w:rsidP="005C7041">
            <w:pPr>
              <w:rPr>
                <w:b/>
                <w:sz w:val="12"/>
                <w:szCs w:val="12"/>
              </w:rPr>
            </w:pPr>
          </w:p>
        </w:tc>
        <w:tc>
          <w:tcPr>
            <w:tcW w:w="2856" w:type="dxa"/>
            <w:tcBorders>
              <w:top w:val="nil"/>
              <w:bottom w:val="single" w:sz="4" w:space="0" w:color="auto"/>
            </w:tcBorders>
          </w:tcPr>
          <w:p w:rsidR="00C04CD9" w:rsidRPr="00E12742" w:rsidRDefault="00C04CD9" w:rsidP="005C7041">
            <w:pPr>
              <w:shd w:val="clear" w:color="auto" w:fill="FFFFFF"/>
              <w:rPr>
                <w:i/>
                <w:iCs/>
                <w:color w:val="0F0089"/>
                <w:spacing w:val="-1"/>
                <w:sz w:val="12"/>
                <w:szCs w:val="12"/>
              </w:rPr>
            </w:pPr>
            <w:r w:rsidRPr="00E12742">
              <w:rPr>
                <w:i/>
                <w:iCs/>
                <w:color w:val="0F0089"/>
                <w:spacing w:val="-1"/>
                <w:sz w:val="12"/>
                <w:szCs w:val="12"/>
              </w:rPr>
              <w:t xml:space="preserve">Velmi pravděpodobné </w:t>
            </w:r>
          </w:p>
          <w:p w:rsidR="00905978" w:rsidRPr="005C7041" w:rsidRDefault="00C04CD9" w:rsidP="005C7041">
            <w:pPr>
              <w:rPr>
                <w:color w:val="FF0000"/>
                <w:sz w:val="12"/>
                <w:szCs w:val="12"/>
              </w:rPr>
            </w:pPr>
            <w:r w:rsidRPr="005C7041">
              <w:rPr>
                <w:i/>
                <w:iCs/>
                <w:color w:val="FF0000"/>
                <w:spacing w:val="-1"/>
                <w:sz w:val="12"/>
                <w:szCs w:val="12"/>
              </w:rPr>
              <w:t>Velmi pravděpodobné</w:t>
            </w:r>
          </w:p>
        </w:tc>
        <w:tc>
          <w:tcPr>
            <w:tcW w:w="2856" w:type="dxa"/>
            <w:tcBorders>
              <w:top w:val="nil"/>
              <w:bottom w:val="single" w:sz="4" w:space="0" w:color="auto"/>
            </w:tcBorders>
          </w:tcPr>
          <w:p w:rsidR="00047E50" w:rsidRDefault="00C04CD9" w:rsidP="005C7041">
            <w:pPr>
              <w:rPr>
                <w:i/>
                <w:iCs/>
                <w:color w:val="0F0089"/>
                <w:spacing w:val="1"/>
                <w:sz w:val="12"/>
                <w:szCs w:val="12"/>
              </w:rPr>
            </w:pPr>
            <w:r w:rsidRPr="00E12742">
              <w:rPr>
                <w:i/>
                <w:iCs/>
                <w:color w:val="0F0089"/>
                <w:spacing w:val="1"/>
                <w:sz w:val="12"/>
                <w:szCs w:val="12"/>
              </w:rPr>
              <w:t>Pravděpodobn</w:t>
            </w:r>
            <w:r w:rsidR="00047E50">
              <w:rPr>
                <w:i/>
                <w:iCs/>
                <w:color w:val="0F0089"/>
                <w:spacing w:val="1"/>
                <w:sz w:val="12"/>
                <w:szCs w:val="12"/>
              </w:rPr>
              <w:t>é</w:t>
            </w:r>
          </w:p>
          <w:p w:rsidR="00905978" w:rsidRPr="005C7041" w:rsidRDefault="00C04CD9" w:rsidP="005C7041">
            <w:pPr>
              <w:rPr>
                <w:i/>
                <w:iCs/>
                <w:color w:val="FF0000"/>
                <w:spacing w:val="1"/>
                <w:sz w:val="12"/>
                <w:szCs w:val="12"/>
              </w:rPr>
            </w:pPr>
            <w:r w:rsidRPr="005C7041">
              <w:rPr>
                <w:i/>
                <w:iCs/>
                <w:color w:val="FF0000"/>
                <w:spacing w:val="1"/>
                <w:sz w:val="12"/>
                <w:szCs w:val="12"/>
              </w:rPr>
              <w:t>Pravděpodobné</w:t>
            </w:r>
          </w:p>
        </w:tc>
        <w:tc>
          <w:tcPr>
            <w:tcW w:w="2856" w:type="dxa"/>
            <w:tcBorders>
              <w:top w:val="nil"/>
              <w:bottom w:val="single" w:sz="4" w:space="0" w:color="auto"/>
            </w:tcBorders>
          </w:tcPr>
          <w:p w:rsidR="00905978" w:rsidRPr="00E12742" w:rsidRDefault="00905978" w:rsidP="005C7041">
            <w:pPr>
              <w:rPr>
                <w:sz w:val="12"/>
                <w:szCs w:val="12"/>
              </w:rPr>
            </w:pPr>
          </w:p>
        </w:tc>
        <w:tc>
          <w:tcPr>
            <w:tcW w:w="3071" w:type="dxa"/>
            <w:tcBorders>
              <w:top w:val="nil"/>
              <w:bottom w:val="single" w:sz="4" w:space="0" w:color="auto"/>
            </w:tcBorders>
          </w:tcPr>
          <w:p w:rsidR="00E12742" w:rsidRPr="00E12742" w:rsidRDefault="00E12742" w:rsidP="005C7041">
            <w:pPr>
              <w:shd w:val="clear" w:color="auto" w:fill="FFFFFF"/>
              <w:rPr>
                <w:i/>
                <w:iCs/>
                <w:color w:val="0F0089"/>
                <w:spacing w:val="-1"/>
                <w:sz w:val="12"/>
                <w:szCs w:val="12"/>
              </w:rPr>
            </w:pPr>
            <w:r w:rsidRPr="00E12742">
              <w:rPr>
                <w:i/>
                <w:iCs/>
                <w:color w:val="0F0089"/>
                <w:spacing w:val="-1"/>
                <w:sz w:val="12"/>
                <w:szCs w:val="12"/>
              </w:rPr>
              <w:t xml:space="preserve">Prakticky jisté </w:t>
            </w:r>
          </w:p>
          <w:p w:rsidR="00905978" w:rsidRPr="005C7041" w:rsidRDefault="00E12742" w:rsidP="005C7041">
            <w:pPr>
              <w:shd w:val="clear" w:color="auto" w:fill="FFFFFF"/>
              <w:rPr>
                <w:i/>
                <w:iCs/>
                <w:color w:val="FF0000"/>
                <w:spacing w:val="-1"/>
                <w:sz w:val="12"/>
                <w:szCs w:val="12"/>
              </w:rPr>
            </w:pPr>
            <w:r w:rsidRPr="005C7041">
              <w:rPr>
                <w:i/>
                <w:iCs/>
                <w:color w:val="FF0000"/>
                <w:spacing w:val="-1"/>
                <w:sz w:val="12"/>
                <w:szCs w:val="12"/>
              </w:rPr>
              <w:t>Prakticky jisté</w:t>
            </w:r>
          </w:p>
        </w:tc>
      </w:tr>
      <w:tr w:rsidR="00E12742" w:rsidTr="005C7041">
        <w:tc>
          <w:tcPr>
            <w:tcW w:w="2891" w:type="dxa"/>
            <w:vMerge w:val="restart"/>
            <w:shd w:val="clear" w:color="auto" w:fill="DBE5F1" w:themeFill="accent1" w:themeFillTint="33"/>
            <w:vAlign w:val="center"/>
          </w:tcPr>
          <w:p w:rsidR="00905978" w:rsidRPr="00415379" w:rsidRDefault="00415379" w:rsidP="005C7041">
            <w:pPr>
              <w:rPr>
                <w:b/>
                <w:sz w:val="12"/>
                <w:szCs w:val="12"/>
              </w:rPr>
            </w:pPr>
            <w:r w:rsidRPr="00415379">
              <w:rPr>
                <w:b/>
                <w:color w:val="000000"/>
                <w:spacing w:val="-1"/>
                <w:sz w:val="12"/>
                <w:szCs w:val="12"/>
              </w:rPr>
              <w:t>Teplejší dny a/nebo častější horké dny a noci nad většinou pevninských oblastí</w:t>
            </w:r>
          </w:p>
        </w:tc>
        <w:tc>
          <w:tcPr>
            <w:tcW w:w="2856" w:type="dxa"/>
            <w:tcBorders>
              <w:bottom w:val="nil"/>
            </w:tcBorders>
            <w:shd w:val="clear" w:color="auto" w:fill="FDE9D9" w:themeFill="accent6" w:themeFillTint="33"/>
          </w:tcPr>
          <w:p w:rsidR="00905978" w:rsidRPr="00415379" w:rsidRDefault="00415379" w:rsidP="005C7041">
            <w:pPr>
              <w:rPr>
                <w:sz w:val="12"/>
                <w:szCs w:val="12"/>
              </w:rPr>
            </w:pPr>
            <w:r>
              <w:rPr>
                <w:sz w:val="12"/>
                <w:szCs w:val="12"/>
              </w:rPr>
              <w:t xml:space="preserve">Velmi pravděpodobné                                    </w:t>
            </w:r>
            <w:r>
              <w:rPr>
                <w:sz w:val="12"/>
                <w:szCs w:val="12"/>
                <w:lang w:val="en-US"/>
              </w:rPr>
              <w:t>{2.6}</w:t>
            </w:r>
          </w:p>
        </w:tc>
        <w:tc>
          <w:tcPr>
            <w:tcW w:w="2856" w:type="dxa"/>
            <w:tcBorders>
              <w:bottom w:val="nil"/>
            </w:tcBorders>
            <w:shd w:val="clear" w:color="auto" w:fill="FDE9D9" w:themeFill="accent6" w:themeFillTint="33"/>
          </w:tcPr>
          <w:p w:rsidR="00905978" w:rsidRPr="00E12742" w:rsidRDefault="00415379" w:rsidP="005C7041">
            <w:pPr>
              <w:rPr>
                <w:sz w:val="12"/>
                <w:szCs w:val="12"/>
              </w:rPr>
            </w:pPr>
            <w:r w:rsidRPr="00047E50">
              <w:rPr>
                <w:b/>
                <w:sz w:val="12"/>
                <w:szCs w:val="12"/>
              </w:rPr>
              <w:t>Velmi pravděpodobné</w:t>
            </w:r>
            <w:r>
              <w:rPr>
                <w:sz w:val="12"/>
                <w:szCs w:val="12"/>
              </w:rPr>
              <w:t xml:space="preserve">      </w:t>
            </w:r>
            <w:r w:rsidRPr="00047E50">
              <w:rPr>
                <w:sz w:val="12"/>
                <w:szCs w:val="12"/>
                <w:lang w:val="en-US"/>
              </w:rPr>
              <w:t xml:space="preserve">                          </w:t>
            </w:r>
            <w:r>
              <w:rPr>
                <w:sz w:val="12"/>
                <w:szCs w:val="12"/>
                <w:lang w:val="en-US"/>
              </w:rPr>
              <w:t>{10.6}</w:t>
            </w:r>
          </w:p>
        </w:tc>
        <w:tc>
          <w:tcPr>
            <w:tcW w:w="2856" w:type="dxa"/>
            <w:tcBorders>
              <w:bottom w:val="nil"/>
            </w:tcBorders>
            <w:shd w:val="clear" w:color="auto" w:fill="FDE9D9" w:themeFill="accent6" w:themeFillTint="33"/>
          </w:tcPr>
          <w:p w:rsidR="00905978" w:rsidRPr="00E12742" w:rsidRDefault="00415379" w:rsidP="005C7041">
            <w:pPr>
              <w:rPr>
                <w:sz w:val="12"/>
                <w:szCs w:val="12"/>
              </w:rPr>
            </w:pPr>
            <w:r>
              <w:rPr>
                <w:sz w:val="12"/>
                <w:szCs w:val="12"/>
              </w:rPr>
              <w:t xml:space="preserve">Pravděpodobné                                            </w:t>
            </w:r>
            <w:r>
              <w:rPr>
                <w:sz w:val="12"/>
                <w:szCs w:val="12"/>
                <w:lang w:val="en-US"/>
              </w:rPr>
              <w:t>{11.3}</w:t>
            </w:r>
          </w:p>
        </w:tc>
        <w:tc>
          <w:tcPr>
            <w:tcW w:w="3071" w:type="dxa"/>
            <w:tcBorders>
              <w:bottom w:val="nil"/>
            </w:tcBorders>
            <w:shd w:val="clear" w:color="auto" w:fill="FDE9D9" w:themeFill="accent6" w:themeFillTint="33"/>
          </w:tcPr>
          <w:p w:rsidR="00905978" w:rsidRPr="00E12742" w:rsidRDefault="00415379" w:rsidP="005C7041">
            <w:pPr>
              <w:rPr>
                <w:sz w:val="12"/>
                <w:szCs w:val="12"/>
              </w:rPr>
            </w:pPr>
            <w:r>
              <w:rPr>
                <w:sz w:val="12"/>
                <w:szCs w:val="12"/>
              </w:rPr>
              <w:t xml:space="preserve">Prakticky jisté                                                      </w:t>
            </w:r>
            <w:r>
              <w:rPr>
                <w:sz w:val="12"/>
                <w:szCs w:val="12"/>
                <w:lang w:val="en-US"/>
              </w:rPr>
              <w:t>{12.4}</w:t>
            </w:r>
          </w:p>
        </w:tc>
      </w:tr>
      <w:tr w:rsidR="00415379" w:rsidTr="005C7041">
        <w:tc>
          <w:tcPr>
            <w:tcW w:w="2891" w:type="dxa"/>
            <w:vMerge/>
            <w:shd w:val="clear" w:color="auto" w:fill="DBE5F1" w:themeFill="accent1" w:themeFillTint="33"/>
            <w:vAlign w:val="center"/>
          </w:tcPr>
          <w:p w:rsidR="00415379" w:rsidRPr="00E12742" w:rsidRDefault="00415379" w:rsidP="005C7041">
            <w:pPr>
              <w:rPr>
                <w:b/>
                <w:sz w:val="12"/>
                <w:szCs w:val="12"/>
              </w:rPr>
            </w:pPr>
          </w:p>
        </w:tc>
        <w:tc>
          <w:tcPr>
            <w:tcW w:w="2856" w:type="dxa"/>
            <w:tcBorders>
              <w:top w:val="nil"/>
              <w:bottom w:val="single" w:sz="4" w:space="0" w:color="auto"/>
            </w:tcBorders>
          </w:tcPr>
          <w:p w:rsidR="00415379" w:rsidRPr="00415379" w:rsidRDefault="00415379" w:rsidP="005C7041">
            <w:pPr>
              <w:shd w:val="clear" w:color="auto" w:fill="FFFFFF"/>
              <w:rPr>
                <w:i/>
                <w:iCs/>
                <w:color w:val="0F0089"/>
                <w:spacing w:val="-1"/>
                <w:sz w:val="12"/>
                <w:szCs w:val="12"/>
              </w:rPr>
            </w:pPr>
            <w:r w:rsidRPr="00415379">
              <w:rPr>
                <w:i/>
                <w:iCs/>
                <w:color w:val="0F0089"/>
                <w:spacing w:val="-1"/>
                <w:sz w:val="12"/>
                <w:szCs w:val="12"/>
              </w:rPr>
              <w:t xml:space="preserve">Velmi pravděpodobné </w:t>
            </w:r>
          </w:p>
          <w:p w:rsidR="00415379" w:rsidRPr="005C7041" w:rsidRDefault="00415379" w:rsidP="005C7041">
            <w:pPr>
              <w:rPr>
                <w:color w:val="FF0000"/>
                <w:sz w:val="12"/>
                <w:szCs w:val="12"/>
              </w:rPr>
            </w:pPr>
            <w:r w:rsidRPr="005C7041">
              <w:rPr>
                <w:i/>
                <w:iCs/>
                <w:color w:val="FF0000"/>
                <w:spacing w:val="-1"/>
                <w:sz w:val="12"/>
                <w:szCs w:val="12"/>
              </w:rPr>
              <w:t>Velmi pravděpodobné</w:t>
            </w:r>
          </w:p>
        </w:tc>
        <w:tc>
          <w:tcPr>
            <w:tcW w:w="2856" w:type="dxa"/>
            <w:tcBorders>
              <w:top w:val="nil"/>
              <w:bottom w:val="single" w:sz="4" w:space="0" w:color="auto"/>
            </w:tcBorders>
          </w:tcPr>
          <w:p w:rsidR="00415379" w:rsidRPr="00415379" w:rsidRDefault="00415379" w:rsidP="005C7041">
            <w:pPr>
              <w:shd w:val="clear" w:color="auto" w:fill="FFFFFF"/>
              <w:rPr>
                <w:i/>
                <w:iCs/>
                <w:color w:val="0F0089"/>
                <w:spacing w:val="1"/>
                <w:sz w:val="12"/>
                <w:szCs w:val="12"/>
              </w:rPr>
            </w:pPr>
            <w:r w:rsidRPr="00415379">
              <w:rPr>
                <w:i/>
                <w:iCs/>
                <w:color w:val="0F0089"/>
                <w:spacing w:val="1"/>
                <w:sz w:val="12"/>
                <w:szCs w:val="12"/>
              </w:rPr>
              <w:t xml:space="preserve">Pravděpodobné </w:t>
            </w:r>
          </w:p>
          <w:p w:rsidR="00415379" w:rsidRPr="005C7041" w:rsidRDefault="00415379" w:rsidP="005C7041">
            <w:pPr>
              <w:rPr>
                <w:color w:val="FF0000"/>
                <w:sz w:val="12"/>
                <w:szCs w:val="12"/>
              </w:rPr>
            </w:pPr>
            <w:r w:rsidRPr="005C7041">
              <w:rPr>
                <w:i/>
                <w:iCs/>
                <w:color w:val="FF0000"/>
                <w:sz w:val="12"/>
                <w:szCs w:val="12"/>
              </w:rPr>
              <w:t xml:space="preserve">Pravděpodobné </w:t>
            </w:r>
            <w:r w:rsidRPr="005C7041">
              <w:rPr>
                <w:color w:val="FF0000"/>
                <w:sz w:val="12"/>
                <w:szCs w:val="12"/>
              </w:rPr>
              <w:t>(pouze noci)</w:t>
            </w:r>
          </w:p>
        </w:tc>
        <w:tc>
          <w:tcPr>
            <w:tcW w:w="2856" w:type="dxa"/>
            <w:tcBorders>
              <w:top w:val="nil"/>
              <w:bottom w:val="single" w:sz="4" w:space="0" w:color="auto"/>
            </w:tcBorders>
          </w:tcPr>
          <w:p w:rsidR="00415379" w:rsidRPr="00E12742" w:rsidRDefault="00415379" w:rsidP="005C7041">
            <w:pPr>
              <w:rPr>
                <w:sz w:val="12"/>
                <w:szCs w:val="12"/>
              </w:rPr>
            </w:pPr>
          </w:p>
        </w:tc>
        <w:tc>
          <w:tcPr>
            <w:tcW w:w="3071" w:type="dxa"/>
            <w:tcBorders>
              <w:top w:val="nil"/>
              <w:bottom w:val="single" w:sz="4" w:space="0" w:color="auto"/>
            </w:tcBorders>
          </w:tcPr>
          <w:p w:rsidR="00415379" w:rsidRPr="00E12742" w:rsidRDefault="00415379" w:rsidP="005C7041">
            <w:pPr>
              <w:shd w:val="clear" w:color="auto" w:fill="FFFFFF"/>
              <w:rPr>
                <w:i/>
                <w:iCs/>
                <w:color w:val="0F0089"/>
                <w:spacing w:val="-1"/>
                <w:sz w:val="12"/>
                <w:szCs w:val="12"/>
              </w:rPr>
            </w:pPr>
            <w:r w:rsidRPr="00E12742">
              <w:rPr>
                <w:i/>
                <w:iCs/>
                <w:color w:val="0F0089"/>
                <w:spacing w:val="-1"/>
                <w:sz w:val="12"/>
                <w:szCs w:val="12"/>
              </w:rPr>
              <w:t xml:space="preserve">Prakticky jisté </w:t>
            </w:r>
          </w:p>
          <w:p w:rsidR="00415379" w:rsidRPr="005C7041" w:rsidRDefault="00415379" w:rsidP="005C7041">
            <w:pPr>
              <w:shd w:val="clear" w:color="auto" w:fill="FFFFFF"/>
              <w:rPr>
                <w:i/>
                <w:iCs/>
                <w:color w:val="FF0000"/>
                <w:spacing w:val="-1"/>
                <w:sz w:val="12"/>
                <w:szCs w:val="12"/>
              </w:rPr>
            </w:pPr>
            <w:r w:rsidRPr="005C7041">
              <w:rPr>
                <w:i/>
                <w:iCs/>
                <w:color w:val="FF0000"/>
                <w:spacing w:val="-1"/>
                <w:sz w:val="12"/>
                <w:szCs w:val="12"/>
              </w:rPr>
              <w:t>Prakticky jisté</w:t>
            </w:r>
          </w:p>
        </w:tc>
      </w:tr>
      <w:tr w:rsidR="00415379" w:rsidTr="005C7041">
        <w:tc>
          <w:tcPr>
            <w:tcW w:w="2891" w:type="dxa"/>
            <w:vMerge w:val="restart"/>
            <w:shd w:val="clear" w:color="auto" w:fill="DBE5F1" w:themeFill="accent1" w:themeFillTint="33"/>
            <w:vAlign w:val="center"/>
          </w:tcPr>
          <w:p w:rsidR="00415379" w:rsidRPr="00415379" w:rsidRDefault="00415379" w:rsidP="005C7041">
            <w:pPr>
              <w:rPr>
                <w:b/>
                <w:sz w:val="12"/>
                <w:szCs w:val="12"/>
              </w:rPr>
            </w:pPr>
            <w:r w:rsidRPr="00415379">
              <w:rPr>
                <w:b/>
                <w:sz w:val="12"/>
                <w:szCs w:val="12"/>
              </w:rPr>
              <w:t>Období tepla /vlny horka</w:t>
            </w:r>
          </w:p>
          <w:p w:rsidR="00415379" w:rsidRPr="00415379" w:rsidRDefault="00415379" w:rsidP="005C7041">
            <w:pPr>
              <w:rPr>
                <w:b/>
                <w:sz w:val="12"/>
                <w:szCs w:val="12"/>
              </w:rPr>
            </w:pPr>
            <w:r w:rsidRPr="00415379">
              <w:rPr>
                <w:b/>
                <w:color w:val="000000"/>
                <w:spacing w:val="-1"/>
                <w:sz w:val="12"/>
                <w:szCs w:val="12"/>
              </w:rPr>
              <w:t>Četnost a/nebo doba trvání se zvyšuje nad většinou pevninských oblastí</w:t>
            </w:r>
          </w:p>
        </w:tc>
        <w:tc>
          <w:tcPr>
            <w:tcW w:w="2856" w:type="dxa"/>
            <w:tcBorders>
              <w:bottom w:val="nil"/>
            </w:tcBorders>
            <w:shd w:val="clear" w:color="auto" w:fill="FDE9D9" w:themeFill="accent6" w:themeFillTint="33"/>
          </w:tcPr>
          <w:p w:rsidR="00415379" w:rsidRDefault="00415379" w:rsidP="005C7041">
            <w:pPr>
              <w:rPr>
                <w:sz w:val="12"/>
                <w:szCs w:val="12"/>
              </w:rPr>
            </w:pPr>
            <w:r w:rsidRPr="00415379">
              <w:rPr>
                <w:b/>
                <w:sz w:val="12"/>
                <w:szCs w:val="12"/>
              </w:rPr>
              <w:t>Střední spolehlivost</w:t>
            </w:r>
            <w:r>
              <w:rPr>
                <w:sz w:val="12"/>
                <w:szCs w:val="12"/>
              </w:rPr>
              <w:t xml:space="preserve"> v globálním měřítku</w:t>
            </w:r>
          </w:p>
          <w:p w:rsidR="00415379" w:rsidRPr="00415379" w:rsidRDefault="00415379" w:rsidP="005C7041">
            <w:pPr>
              <w:rPr>
                <w:sz w:val="12"/>
                <w:szCs w:val="12"/>
              </w:rPr>
            </w:pPr>
            <w:r w:rsidRPr="00415379">
              <w:rPr>
                <w:i/>
                <w:sz w:val="12"/>
                <w:szCs w:val="12"/>
              </w:rPr>
              <w:t>Pravděpodobné</w:t>
            </w:r>
            <w:r>
              <w:rPr>
                <w:sz w:val="12"/>
                <w:szCs w:val="12"/>
              </w:rPr>
              <w:t xml:space="preserve"> ve velkých částech Evropy, Asie a Austrálie                                                   </w:t>
            </w:r>
            <w:r w:rsidR="00A46BBA">
              <w:rPr>
                <w:sz w:val="12"/>
                <w:szCs w:val="12"/>
              </w:rPr>
              <w:t xml:space="preserve"> </w:t>
            </w:r>
            <w:r>
              <w:rPr>
                <w:sz w:val="12"/>
                <w:szCs w:val="12"/>
              </w:rPr>
              <w:t xml:space="preserve">  </w:t>
            </w:r>
            <w:r>
              <w:rPr>
                <w:sz w:val="12"/>
                <w:szCs w:val="12"/>
                <w:lang w:val="en-US"/>
              </w:rPr>
              <w:t>{2.6}</w:t>
            </w:r>
          </w:p>
        </w:tc>
        <w:tc>
          <w:tcPr>
            <w:tcW w:w="2856" w:type="dxa"/>
            <w:tcBorders>
              <w:bottom w:val="nil"/>
            </w:tcBorders>
            <w:shd w:val="clear" w:color="auto" w:fill="FDE9D9" w:themeFill="accent6" w:themeFillTint="33"/>
          </w:tcPr>
          <w:p w:rsidR="00415379" w:rsidRPr="00415379" w:rsidRDefault="00415379" w:rsidP="00A46BBA">
            <w:pPr>
              <w:rPr>
                <w:sz w:val="12"/>
                <w:szCs w:val="12"/>
              </w:rPr>
            </w:pPr>
            <w:r>
              <w:rPr>
                <w:sz w:val="12"/>
                <w:szCs w:val="12"/>
              </w:rPr>
              <w:t>Pravděpodobné</w:t>
            </w:r>
            <w:r w:rsidR="00A46BBA">
              <w:rPr>
                <w:sz w:val="12"/>
                <w:szCs w:val="12"/>
                <w:vertAlign w:val="superscript"/>
              </w:rPr>
              <w:t>a</w:t>
            </w:r>
            <w:r>
              <w:rPr>
                <w:sz w:val="12"/>
                <w:szCs w:val="12"/>
              </w:rPr>
              <w:t xml:space="preserve">                              </w:t>
            </w:r>
            <w:r w:rsidR="00A46BBA">
              <w:rPr>
                <w:sz w:val="12"/>
                <w:szCs w:val="12"/>
              </w:rPr>
              <w:t xml:space="preserve">     </w:t>
            </w:r>
            <w:r>
              <w:rPr>
                <w:sz w:val="12"/>
                <w:szCs w:val="12"/>
              </w:rPr>
              <w:t xml:space="preserve">        </w:t>
            </w:r>
            <w:r>
              <w:rPr>
                <w:sz w:val="12"/>
                <w:szCs w:val="12"/>
                <w:lang w:val="en-US"/>
              </w:rPr>
              <w:t>{10.6}</w:t>
            </w:r>
          </w:p>
        </w:tc>
        <w:tc>
          <w:tcPr>
            <w:tcW w:w="2856" w:type="dxa"/>
            <w:tcBorders>
              <w:bottom w:val="nil"/>
            </w:tcBorders>
            <w:shd w:val="clear" w:color="auto" w:fill="FDE9D9" w:themeFill="accent6" w:themeFillTint="33"/>
          </w:tcPr>
          <w:p w:rsidR="00415379" w:rsidRPr="005C7041" w:rsidRDefault="005C7041" w:rsidP="00A46BBA">
            <w:pPr>
              <w:rPr>
                <w:sz w:val="12"/>
                <w:szCs w:val="12"/>
              </w:rPr>
            </w:pPr>
            <w:r>
              <w:rPr>
                <w:sz w:val="12"/>
                <w:szCs w:val="12"/>
              </w:rPr>
              <w:t>Nebylo formálně hodnoceno</w:t>
            </w:r>
            <w:r w:rsidR="00A46BBA">
              <w:rPr>
                <w:sz w:val="12"/>
                <w:szCs w:val="12"/>
                <w:vertAlign w:val="superscript"/>
              </w:rPr>
              <w:t>b</w:t>
            </w:r>
            <w:r>
              <w:rPr>
                <w:sz w:val="12"/>
                <w:szCs w:val="12"/>
              </w:rPr>
              <w:t xml:space="preserve">           </w:t>
            </w:r>
            <w:r w:rsidR="00A46BBA">
              <w:rPr>
                <w:sz w:val="12"/>
                <w:szCs w:val="12"/>
              </w:rPr>
              <w:t xml:space="preserve">    </w:t>
            </w:r>
            <w:r>
              <w:rPr>
                <w:sz w:val="12"/>
                <w:szCs w:val="12"/>
              </w:rPr>
              <w:t xml:space="preserve">        </w:t>
            </w:r>
            <w:r>
              <w:rPr>
                <w:sz w:val="12"/>
                <w:szCs w:val="12"/>
                <w:lang w:val="en-US"/>
              </w:rPr>
              <w:t>{11.3}</w:t>
            </w:r>
          </w:p>
        </w:tc>
        <w:tc>
          <w:tcPr>
            <w:tcW w:w="3071" w:type="dxa"/>
            <w:tcBorders>
              <w:bottom w:val="nil"/>
            </w:tcBorders>
            <w:shd w:val="clear" w:color="auto" w:fill="FDE9D9" w:themeFill="accent6" w:themeFillTint="33"/>
          </w:tcPr>
          <w:p w:rsidR="00415379" w:rsidRPr="005C7041" w:rsidRDefault="005C7041" w:rsidP="005C7041">
            <w:pPr>
              <w:rPr>
                <w:sz w:val="12"/>
                <w:szCs w:val="12"/>
              </w:rPr>
            </w:pPr>
            <w:r>
              <w:rPr>
                <w:sz w:val="12"/>
                <w:szCs w:val="12"/>
              </w:rPr>
              <w:t xml:space="preserve">Velmi pravděpodobné                                         </w:t>
            </w:r>
            <w:r>
              <w:rPr>
                <w:sz w:val="12"/>
                <w:szCs w:val="12"/>
                <w:lang w:val="en-US"/>
              </w:rPr>
              <w:t>{12.4}</w:t>
            </w:r>
          </w:p>
        </w:tc>
      </w:tr>
      <w:tr w:rsidR="00415379" w:rsidTr="005C7041">
        <w:tc>
          <w:tcPr>
            <w:tcW w:w="2891" w:type="dxa"/>
            <w:vMerge/>
            <w:shd w:val="clear" w:color="auto" w:fill="DBE5F1" w:themeFill="accent1" w:themeFillTint="33"/>
          </w:tcPr>
          <w:p w:rsidR="00415379" w:rsidRPr="00E12742" w:rsidRDefault="00415379" w:rsidP="005C7041">
            <w:pPr>
              <w:rPr>
                <w:b/>
                <w:sz w:val="12"/>
                <w:szCs w:val="12"/>
              </w:rPr>
            </w:pPr>
          </w:p>
        </w:tc>
        <w:tc>
          <w:tcPr>
            <w:tcW w:w="2856" w:type="dxa"/>
            <w:tcBorders>
              <w:top w:val="nil"/>
              <w:bottom w:val="single" w:sz="4" w:space="0" w:color="auto"/>
            </w:tcBorders>
          </w:tcPr>
          <w:p w:rsidR="00415379" w:rsidRPr="00415379" w:rsidRDefault="00415379" w:rsidP="005C7041">
            <w:pPr>
              <w:shd w:val="clear" w:color="auto" w:fill="FFFFFF"/>
              <w:rPr>
                <w:color w:val="0F0089"/>
                <w:sz w:val="12"/>
                <w:szCs w:val="12"/>
              </w:rPr>
            </w:pPr>
            <w:r w:rsidRPr="00415379">
              <w:rPr>
                <w:i/>
                <w:iCs/>
                <w:color w:val="0F0089"/>
                <w:sz w:val="12"/>
                <w:szCs w:val="12"/>
              </w:rPr>
              <w:t>Střední pravděpodobnost v mnoha oblastech (nikoli však ve všech)</w:t>
            </w:r>
            <w:r w:rsidRPr="00415379">
              <w:rPr>
                <w:color w:val="0F0089"/>
                <w:sz w:val="12"/>
                <w:szCs w:val="12"/>
              </w:rPr>
              <w:t xml:space="preserve"> </w:t>
            </w:r>
          </w:p>
          <w:p w:rsidR="00415379" w:rsidRPr="005C7041" w:rsidRDefault="00415379" w:rsidP="005C7041">
            <w:pPr>
              <w:rPr>
                <w:color w:val="FF0000"/>
                <w:sz w:val="12"/>
                <w:szCs w:val="12"/>
              </w:rPr>
            </w:pPr>
            <w:r w:rsidRPr="005C7041">
              <w:rPr>
                <w:i/>
                <w:iCs/>
                <w:color w:val="FF0000"/>
                <w:spacing w:val="1"/>
                <w:sz w:val="12"/>
                <w:szCs w:val="12"/>
              </w:rPr>
              <w:t>Pravděpodobné</w:t>
            </w:r>
          </w:p>
        </w:tc>
        <w:tc>
          <w:tcPr>
            <w:tcW w:w="2856" w:type="dxa"/>
            <w:tcBorders>
              <w:top w:val="nil"/>
              <w:bottom w:val="single" w:sz="4" w:space="0" w:color="auto"/>
            </w:tcBorders>
          </w:tcPr>
          <w:p w:rsidR="00415379" w:rsidRPr="00415379" w:rsidRDefault="00415379" w:rsidP="005C7041">
            <w:pPr>
              <w:shd w:val="clear" w:color="auto" w:fill="FFFFFF"/>
              <w:rPr>
                <w:color w:val="0F0089"/>
                <w:sz w:val="12"/>
                <w:szCs w:val="12"/>
              </w:rPr>
            </w:pPr>
            <w:r w:rsidRPr="00415379">
              <w:rPr>
                <w:color w:val="0F0089"/>
                <w:sz w:val="12"/>
                <w:szCs w:val="12"/>
              </w:rPr>
              <w:t xml:space="preserve">Nebylo formálně hodnoceno </w:t>
            </w:r>
          </w:p>
          <w:p w:rsidR="005C7041" w:rsidRDefault="005C7041" w:rsidP="005C7041">
            <w:pPr>
              <w:rPr>
                <w:i/>
                <w:iCs/>
                <w:color w:val="E76F0D"/>
                <w:spacing w:val="1"/>
                <w:sz w:val="12"/>
                <w:szCs w:val="12"/>
              </w:rPr>
            </w:pPr>
          </w:p>
          <w:p w:rsidR="00415379" w:rsidRPr="005C7041" w:rsidRDefault="00415379" w:rsidP="005C7041">
            <w:pPr>
              <w:rPr>
                <w:color w:val="FF0000"/>
                <w:sz w:val="12"/>
                <w:szCs w:val="12"/>
              </w:rPr>
            </w:pPr>
            <w:r w:rsidRPr="005C7041">
              <w:rPr>
                <w:i/>
                <w:iCs/>
                <w:color w:val="FF0000"/>
                <w:spacing w:val="1"/>
                <w:sz w:val="12"/>
                <w:szCs w:val="12"/>
              </w:rPr>
              <w:t>Více pravděpodobné než nepravděpodobné</w:t>
            </w:r>
          </w:p>
        </w:tc>
        <w:tc>
          <w:tcPr>
            <w:tcW w:w="2856" w:type="dxa"/>
            <w:tcBorders>
              <w:top w:val="nil"/>
              <w:bottom w:val="single" w:sz="4" w:space="0" w:color="auto"/>
            </w:tcBorders>
          </w:tcPr>
          <w:p w:rsidR="00415379" w:rsidRPr="00E12742" w:rsidRDefault="00415379" w:rsidP="005C7041">
            <w:pPr>
              <w:rPr>
                <w:sz w:val="12"/>
                <w:szCs w:val="12"/>
              </w:rPr>
            </w:pPr>
          </w:p>
        </w:tc>
        <w:tc>
          <w:tcPr>
            <w:tcW w:w="3071" w:type="dxa"/>
            <w:tcBorders>
              <w:top w:val="nil"/>
              <w:bottom w:val="single" w:sz="4" w:space="0" w:color="auto"/>
            </w:tcBorders>
          </w:tcPr>
          <w:p w:rsidR="005C7041" w:rsidRDefault="005C7041" w:rsidP="005C7041">
            <w:pPr>
              <w:shd w:val="clear" w:color="auto" w:fill="FFFFFF"/>
              <w:rPr>
                <w:i/>
                <w:iCs/>
                <w:color w:val="0F0089"/>
                <w:spacing w:val="-1"/>
                <w:sz w:val="12"/>
                <w:szCs w:val="12"/>
              </w:rPr>
            </w:pPr>
            <w:r w:rsidRPr="005C7041">
              <w:rPr>
                <w:i/>
                <w:iCs/>
                <w:color w:val="0F0089"/>
                <w:spacing w:val="-1"/>
                <w:sz w:val="12"/>
                <w:szCs w:val="12"/>
              </w:rPr>
              <w:t>Velmi pravděpodobné</w:t>
            </w:r>
          </w:p>
          <w:p w:rsidR="005C7041" w:rsidRPr="005C7041" w:rsidRDefault="005C7041" w:rsidP="005C7041">
            <w:pPr>
              <w:shd w:val="clear" w:color="auto" w:fill="FFFFFF"/>
              <w:rPr>
                <w:i/>
                <w:iCs/>
                <w:color w:val="0F0089"/>
                <w:spacing w:val="-1"/>
                <w:sz w:val="12"/>
                <w:szCs w:val="12"/>
              </w:rPr>
            </w:pPr>
          </w:p>
          <w:p w:rsidR="00415379" w:rsidRPr="005C7041" w:rsidRDefault="005C7041" w:rsidP="005C7041">
            <w:pPr>
              <w:rPr>
                <w:color w:val="FF0000"/>
                <w:sz w:val="12"/>
                <w:szCs w:val="12"/>
              </w:rPr>
            </w:pPr>
            <w:r w:rsidRPr="005C7041">
              <w:rPr>
                <w:i/>
                <w:iCs/>
                <w:color w:val="FF0000"/>
                <w:spacing w:val="-1"/>
                <w:sz w:val="12"/>
                <w:szCs w:val="12"/>
              </w:rPr>
              <w:t>Velmi pravděpodobné</w:t>
            </w:r>
          </w:p>
        </w:tc>
      </w:tr>
      <w:tr w:rsidR="00415379" w:rsidTr="00053D71">
        <w:tc>
          <w:tcPr>
            <w:tcW w:w="2891" w:type="dxa"/>
            <w:vMerge w:val="restart"/>
            <w:shd w:val="clear" w:color="auto" w:fill="DBE5F1" w:themeFill="accent1" w:themeFillTint="33"/>
            <w:vAlign w:val="center"/>
          </w:tcPr>
          <w:p w:rsidR="00415379" w:rsidRDefault="00053D71" w:rsidP="00053D71">
            <w:pPr>
              <w:rPr>
                <w:b/>
                <w:sz w:val="12"/>
                <w:szCs w:val="12"/>
              </w:rPr>
            </w:pPr>
            <w:r>
              <w:rPr>
                <w:b/>
                <w:sz w:val="12"/>
                <w:szCs w:val="12"/>
              </w:rPr>
              <w:t>Epizody silných srážek</w:t>
            </w:r>
          </w:p>
          <w:p w:rsidR="00053D71" w:rsidRPr="00E12742" w:rsidRDefault="00053D71" w:rsidP="00053D71">
            <w:pPr>
              <w:rPr>
                <w:b/>
                <w:sz w:val="12"/>
                <w:szCs w:val="12"/>
              </w:rPr>
            </w:pPr>
            <w:r>
              <w:rPr>
                <w:b/>
                <w:sz w:val="12"/>
                <w:szCs w:val="12"/>
              </w:rPr>
              <w:t>Zvýšení četnosti, intenzity a/nebo množství silných srážek</w:t>
            </w:r>
          </w:p>
        </w:tc>
        <w:tc>
          <w:tcPr>
            <w:tcW w:w="2856" w:type="dxa"/>
            <w:tcBorders>
              <w:bottom w:val="nil"/>
            </w:tcBorders>
            <w:shd w:val="clear" w:color="auto" w:fill="FDE9D9" w:themeFill="accent6" w:themeFillTint="33"/>
          </w:tcPr>
          <w:p w:rsidR="00415379" w:rsidRPr="00053D71" w:rsidRDefault="00053D71" w:rsidP="00A46BBA">
            <w:pPr>
              <w:rPr>
                <w:sz w:val="12"/>
                <w:szCs w:val="12"/>
              </w:rPr>
            </w:pPr>
            <w:r w:rsidRPr="00053D71">
              <w:rPr>
                <w:i/>
                <w:sz w:val="12"/>
                <w:szCs w:val="12"/>
              </w:rPr>
              <w:t>Pravděpodobně</w:t>
            </w:r>
            <w:r>
              <w:rPr>
                <w:sz w:val="12"/>
                <w:szCs w:val="12"/>
              </w:rPr>
              <w:t xml:space="preserve"> více pevninských oblastí se zvýšením než se snížením</w:t>
            </w:r>
            <w:r w:rsidR="00A46BBA">
              <w:rPr>
                <w:sz w:val="12"/>
                <w:szCs w:val="12"/>
                <w:vertAlign w:val="superscript"/>
              </w:rPr>
              <w:t>c</w:t>
            </w:r>
            <w:r>
              <w:rPr>
                <w:sz w:val="12"/>
                <w:szCs w:val="12"/>
              </w:rPr>
              <w:t xml:space="preserve">                  </w:t>
            </w:r>
            <w:r w:rsidR="00A46BBA">
              <w:rPr>
                <w:sz w:val="12"/>
                <w:szCs w:val="12"/>
              </w:rPr>
              <w:t xml:space="preserve">   </w:t>
            </w:r>
            <w:r>
              <w:rPr>
                <w:sz w:val="12"/>
                <w:szCs w:val="12"/>
              </w:rPr>
              <w:t xml:space="preserve">  </w:t>
            </w:r>
            <w:r w:rsidR="00A46BBA">
              <w:rPr>
                <w:sz w:val="12"/>
                <w:szCs w:val="12"/>
              </w:rPr>
              <w:t xml:space="preserve"> </w:t>
            </w:r>
            <w:r>
              <w:rPr>
                <w:sz w:val="12"/>
                <w:szCs w:val="12"/>
              </w:rPr>
              <w:t xml:space="preserve">  </w:t>
            </w:r>
            <w:r>
              <w:rPr>
                <w:sz w:val="12"/>
                <w:szCs w:val="12"/>
                <w:lang w:val="en-US"/>
              </w:rPr>
              <w:t>{2.6}</w:t>
            </w:r>
          </w:p>
        </w:tc>
        <w:tc>
          <w:tcPr>
            <w:tcW w:w="2856" w:type="dxa"/>
            <w:tcBorders>
              <w:bottom w:val="nil"/>
            </w:tcBorders>
            <w:shd w:val="clear" w:color="auto" w:fill="FDE9D9" w:themeFill="accent6" w:themeFillTint="33"/>
          </w:tcPr>
          <w:p w:rsidR="00415379" w:rsidRPr="00053D71" w:rsidRDefault="00053D71" w:rsidP="00053D71">
            <w:pPr>
              <w:rPr>
                <w:sz w:val="12"/>
                <w:szCs w:val="12"/>
              </w:rPr>
            </w:pPr>
            <w:r w:rsidRPr="00053D71">
              <w:rPr>
                <w:b/>
                <w:sz w:val="12"/>
                <w:szCs w:val="12"/>
              </w:rPr>
              <w:t>Střední spolehlivost</w:t>
            </w:r>
            <w:r>
              <w:rPr>
                <w:sz w:val="12"/>
                <w:szCs w:val="12"/>
              </w:rPr>
              <w:t xml:space="preserve">         </w:t>
            </w:r>
            <w:r w:rsidRPr="00053D71">
              <w:rPr>
                <w:sz w:val="12"/>
                <w:szCs w:val="12"/>
                <w:lang w:val="en-US"/>
              </w:rPr>
              <w:t xml:space="preserve">                   </w:t>
            </w:r>
            <w:r>
              <w:rPr>
                <w:sz w:val="12"/>
                <w:szCs w:val="12"/>
                <w:lang w:val="en-US"/>
              </w:rPr>
              <w:t>{7.6, 10.6}</w:t>
            </w:r>
          </w:p>
        </w:tc>
        <w:tc>
          <w:tcPr>
            <w:tcW w:w="2856" w:type="dxa"/>
            <w:tcBorders>
              <w:bottom w:val="nil"/>
            </w:tcBorders>
            <w:shd w:val="clear" w:color="auto" w:fill="FDE9D9" w:themeFill="accent6" w:themeFillTint="33"/>
          </w:tcPr>
          <w:p w:rsidR="00415379" w:rsidRPr="00053D71" w:rsidRDefault="00053D71" w:rsidP="005C7041">
            <w:pPr>
              <w:rPr>
                <w:sz w:val="12"/>
                <w:szCs w:val="12"/>
              </w:rPr>
            </w:pPr>
            <w:r w:rsidRPr="00053D71">
              <w:rPr>
                <w:i/>
                <w:sz w:val="12"/>
                <w:szCs w:val="12"/>
              </w:rPr>
              <w:t>Pravděpodobné</w:t>
            </w:r>
            <w:r>
              <w:rPr>
                <w:sz w:val="12"/>
                <w:szCs w:val="12"/>
              </w:rPr>
              <w:t xml:space="preserve"> nad mnoha pevninskými oblastmi                                                        </w:t>
            </w:r>
            <w:r>
              <w:rPr>
                <w:sz w:val="12"/>
                <w:szCs w:val="12"/>
                <w:lang w:val="en-US"/>
              </w:rPr>
              <w:t>{11.3}</w:t>
            </w:r>
          </w:p>
        </w:tc>
        <w:tc>
          <w:tcPr>
            <w:tcW w:w="3071" w:type="dxa"/>
            <w:tcBorders>
              <w:bottom w:val="nil"/>
            </w:tcBorders>
            <w:shd w:val="clear" w:color="auto" w:fill="FDE9D9" w:themeFill="accent6" w:themeFillTint="33"/>
          </w:tcPr>
          <w:p w:rsidR="00415379" w:rsidRPr="000E2F45" w:rsidRDefault="000E2F45" w:rsidP="005C7041">
            <w:pPr>
              <w:rPr>
                <w:sz w:val="12"/>
                <w:szCs w:val="12"/>
              </w:rPr>
            </w:pPr>
            <w:r>
              <w:rPr>
                <w:sz w:val="12"/>
                <w:szCs w:val="12"/>
              </w:rPr>
              <w:t xml:space="preserve">Velmi pravděpodobné nad většinou pevniny ve středních zeměpisných šířkách a nad vlhkými tropickými oblastmi                                             </w:t>
            </w:r>
            <w:r>
              <w:rPr>
                <w:sz w:val="12"/>
                <w:szCs w:val="12"/>
                <w:lang w:val="en-US"/>
              </w:rPr>
              <w:t>{12.4}</w:t>
            </w:r>
          </w:p>
        </w:tc>
      </w:tr>
      <w:tr w:rsidR="00415379" w:rsidTr="005C7041">
        <w:tc>
          <w:tcPr>
            <w:tcW w:w="2891" w:type="dxa"/>
            <w:vMerge/>
            <w:shd w:val="clear" w:color="auto" w:fill="DBE5F1" w:themeFill="accent1" w:themeFillTint="33"/>
          </w:tcPr>
          <w:p w:rsidR="00415379" w:rsidRPr="00E12742" w:rsidRDefault="00415379" w:rsidP="005C7041">
            <w:pPr>
              <w:rPr>
                <w:b/>
                <w:sz w:val="12"/>
                <w:szCs w:val="12"/>
              </w:rPr>
            </w:pPr>
          </w:p>
        </w:tc>
        <w:tc>
          <w:tcPr>
            <w:tcW w:w="2856" w:type="dxa"/>
            <w:tcBorders>
              <w:top w:val="nil"/>
              <w:bottom w:val="single" w:sz="4" w:space="0" w:color="auto"/>
            </w:tcBorders>
          </w:tcPr>
          <w:p w:rsidR="00053D71" w:rsidRPr="00053D71" w:rsidRDefault="00053D71" w:rsidP="00053D71">
            <w:pPr>
              <w:shd w:val="clear" w:color="auto" w:fill="FFFFFF"/>
              <w:spacing w:line="158" w:lineRule="exact"/>
              <w:rPr>
                <w:color w:val="0F0089"/>
                <w:sz w:val="12"/>
                <w:szCs w:val="12"/>
              </w:rPr>
            </w:pPr>
            <w:r w:rsidRPr="00053D71">
              <w:rPr>
                <w:i/>
                <w:iCs/>
                <w:color w:val="0F0089"/>
                <w:sz w:val="12"/>
                <w:szCs w:val="12"/>
              </w:rPr>
              <w:t xml:space="preserve">Pravděpodobně </w:t>
            </w:r>
            <w:r w:rsidRPr="00053D71">
              <w:rPr>
                <w:iCs/>
                <w:color w:val="0F0089"/>
                <w:sz w:val="12"/>
                <w:szCs w:val="12"/>
              </w:rPr>
              <w:t>více pevninských oblastí se zvýšením než se snížením</w:t>
            </w:r>
            <w:r w:rsidRPr="00053D71">
              <w:rPr>
                <w:color w:val="0F0089"/>
                <w:sz w:val="12"/>
                <w:szCs w:val="12"/>
              </w:rPr>
              <w:t xml:space="preserve"> </w:t>
            </w:r>
          </w:p>
          <w:p w:rsidR="00415379" w:rsidRPr="00053D71" w:rsidRDefault="00053D71" w:rsidP="00053D71">
            <w:pPr>
              <w:rPr>
                <w:color w:val="FF0000"/>
                <w:sz w:val="12"/>
                <w:szCs w:val="12"/>
              </w:rPr>
            </w:pPr>
            <w:r w:rsidRPr="00053D71">
              <w:rPr>
                <w:i/>
                <w:iCs/>
                <w:color w:val="FF0000"/>
                <w:sz w:val="12"/>
                <w:szCs w:val="12"/>
              </w:rPr>
              <w:t xml:space="preserve">Pravděpodobné </w:t>
            </w:r>
            <w:r w:rsidRPr="00053D71">
              <w:rPr>
                <w:color w:val="FF0000"/>
                <w:sz w:val="12"/>
                <w:szCs w:val="12"/>
              </w:rPr>
              <w:t>nad většinou pevninských oblastí</w:t>
            </w:r>
          </w:p>
        </w:tc>
        <w:tc>
          <w:tcPr>
            <w:tcW w:w="2856" w:type="dxa"/>
            <w:tcBorders>
              <w:top w:val="nil"/>
              <w:bottom w:val="single" w:sz="4" w:space="0" w:color="auto"/>
            </w:tcBorders>
          </w:tcPr>
          <w:p w:rsidR="00053D71" w:rsidRDefault="00053D71" w:rsidP="00053D71">
            <w:pPr>
              <w:shd w:val="clear" w:color="auto" w:fill="FFFFFF"/>
              <w:spacing w:line="158" w:lineRule="exact"/>
              <w:rPr>
                <w:i/>
                <w:iCs/>
                <w:color w:val="0F0089"/>
                <w:spacing w:val="1"/>
                <w:sz w:val="12"/>
                <w:szCs w:val="12"/>
              </w:rPr>
            </w:pPr>
            <w:r w:rsidRPr="00053D71">
              <w:rPr>
                <w:i/>
                <w:iCs/>
                <w:color w:val="0F0089"/>
                <w:spacing w:val="1"/>
                <w:sz w:val="12"/>
                <w:szCs w:val="12"/>
              </w:rPr>
              <w:t xml:space="preserve">Střední spolehlivost  </w:t>
            </w:r>
          </w:p>
          <w:p w:rsidR="00053D71" w:rsidRPr="00053D71" w:rsidRDefault="00053D71" w:rsidP="00053D71">
            <w:pPr>
              <w:shd w:val="clear" w:color="auto" w:fill="FFFFFF"/>
              <w:spacing w:line="158" w:lineRule="exact"/>
              <w:rPr>
                <w:i/>
                <w:iCs/>
                <w:color w:val="0F0089"/>
                <w:spacing w:val="1"/>
                <w:sz w:val="12"/>
                <w:szCs w:val="12"/>
              </w:rPr>
            </w:pPr>
          </w:p>
          <w:p w:rsidR="00415379" w:rsidRPr="00053D71" w:rsidRDefault="00053D71" w:rsidP="00053D71">
            <w:pPr>
              <w:rPr>
                <w:color w:val="FF0000"/>
                <w:sz w:val="12"/>
                <w:szCs w:val="12"/>
              </w:rPr>
            </w:pPr>
            <w:r w:rsidRPr="00053D71">
              <w:rPr>
                <w:i/>
                <w:iCs/>
                <w:color w:val="FF0000"/>
                <w:spacing w:val="1"/>
                <w:sz w:val="12"/>
                <w:szCs w:val="12"/>
              </w:rPr>
              <w:t>Více pravděpodobné než nepravděpodobné</w:t>
            </w:r>
          </w:p>
        </w:tc>
        <w:tc>
          <w:tcPr>
            <w:tcW w:w="2856" w:type="dxa"/>
            <w:tcBorders>
              <w:top w:val="nil"/>
              <w:bottom w:val="single" w:sz="4" w:space="0" w:color="auto"/>
            </w:tcBorders>
          </w:tcPr>
          <w:p w:rsidR="00415379" w:rsidRPr="00E12742" w:rsidRDefault="00415379" w:rsidP="005C7041">
            <w:pPr>
              <w:rPr>
                <w:sz w:val="12"/>
                <w:szCs w:val="12"/>
              </w:rPr>
            </w:pPr>
          </w:p>
        </w:tc>
        <w:tc>
          <w:tcPr>
            <w:tcW w:w="3071" w:type="dxa"/>
            <w:tcBorders>
              <w:top w:val="nil"/>
              <w:bottom w:val="single" w:sz="4" w:space="0" w:color="auto"/>
            </w:tcBorders>
          </w:tcPr>
          <w:p w:rsidR="00053D71" w:rsidRPr="00053D71" w:rsidRDefault="00053D71" w:rsidP="00053D71">
            <w:pPr>
              <w:shd w:val="clear" w:color="auto" w:fill="FFFFFF"/>
              <w:spacing w:line="158" w:lineRule="exact"/>
              <w:rPr>
                <w:color w:val="0F0089"/>
                <w:sz w:val="12"/>
                <w:szCs w:val="12"/>
              </w:rPr>
            </w:pPr>
            <w:r w:rsidRPr="00053D71">
              <w:rPr>
                <w:i/>
                <w:iCs/>
                <w:color w:val="0F0089"/>
                <w:sz w:val="12"/>
                <w:szCs w:val="12"/>
              </w:rPr>
              <w:t xml:space="preserve">Pravděpodobné </w:t>
            </w:r>
            <w:r w:rsidRPr="00053D71">
              <w:rPr>
                <w:color w:val="0F0089"/>
                <w:sz w:val="12"/>
                <w:szCs w:val="12"/>
              </w:rPr>
              <w:t xml:space="preserve">nad mnoha oblastmi </w:t>
            </w:r>
          </w:p>
          <w:p w:rsidR="00053D71" w:rsidRDefault="00053D71" w:rsidP="00053D71">
            <w:pPr>
              <w:rPr>
                <w:i/>
                <w:iCs/>
                <w:color w:val="E76F0D"/>
                <w:spacing w:val="-1"/>
                <w:sz w:val="12"/>
                <w:szCs w:val="12"/>
              </w:rPr>
            </w:pPr>
          </w:p>
          <w:p w:rsidR="00415379" w:rsidRPr="00053D71" w:rsidRDefault="00053D71" w:rsidP="00053D71">
            <w:pPr>
              <w:rPr>
                <w:color w:val="FF0000"/>
                <w:sz w:val="12"/>
                <w:szCs w:val="12"/>
              </w:rPr>
            </w:pPr>
            <w:r w:rsidRPr="00053D71">
              <w:rPr>
                <w:i/>
                <w:iCs/>
                <w:color w:val="FF0000"/>
                <w:spacing w:val="-1"/>
                <w:sz w:val="12"/>
                <w:szCs w:val="12"/>
              </w:rPr>
              <w:t xml:space="preserve">Velmi pravděpodobné </w:t>
            </w:r>
            <w:r w:rsidRPr="00053D71">
              <w:rPr>
                <w:color w:val="FF0000"/>
                <w:spacing w:val="-1"/>
                <w:sz w:val="12"/>
                <w:szCs w:val="12"/>
              </w:rPr>
              <w:t>nad většinou pevninských oblastí</w:t>
            </w:r>
          </w:p>
        </w:tc>
      </w:tr>
      <w:tr w:rsidR="00415379" w:rsidTr="000E2F45">
        <w:tc>
          <w:tcPr>
            <w:tcW w:w="2891" w:type="dxa"/>
            <w:vMerge w:val="restart"/>
            <w:shd w:val="clear" w:color="auto" w:fill="DBE5F1" w:themeFill="accent1" w:themeFillTint="33"/>
            <w:vAlign w:val="center"/>
          </w:tcPr>
          <w:p w:rsidR="00415379" w:rsidRPr="00E12742" w:rsidRDefault="000E2F45" w:rsidP="000E2F45">
            <w:pPr>
              <w:rPr>
                <w:b/>
                <w:sz w:val="12"/>
                <w:szCs w:val="12"/>
              </w:rPr>
            </w:pPr>
            <w:r>
              <w:rPr>
                <w:b/>
                <w:sz w:val="12"/>
                <w:szCs w:val="12"/>
              </w:rPr>
              <w:t>Zvýšení intenzity a/nebo doby trvání sucha</w:t>
            </w:r>
          </w:p>
        </w:tc>
        <w:tc>
          <w:tcPr>
            <w:tcW w:w="2856" w:type="dxa"/>
            <w:tcBorders>
              <w:bottom w:val="nil"/>
            </w:tcBorders>
            <w:shd w:val="clear" w:color="auto" w:fill="FDE9D9" w:themeFill="accent6" w:themeFillTint="33"/>
          </w:tcPr>
          <w:p w:rsidR="00415379" w:rsidRDefault="000E2F45" w:rsidP="000E2F45">
            <w:pPr>
              <w:rPr>
                <w:sz w:val="12"/>
                <w:szCs w:val="12"/>
              </w:rPr>
            </w:pPr>
            <w:r w:rsidRPr="000E2F45">
              <w:rPr>
                <w:b/>
                <w:sz w:val="12"/>
                <w:szCs w:val="12"/>
              </w:rPr>
              <w:t>Malá spolehlivost</w:t>
            </w:r>
            <w:r>
              <w:rPr>
                <w:sz w:val="12"/>
                <w:szCs w:val="12"/>
              </w:rPr>
              <w:t xml:space="preserve"> v globálním měřítku</w:t>
            </w:r>
          </w:p>
          <w:p w:rsidR="00A46BBA" w:rsidRPr="00A46BBA" w:rsidRDefault="000E2F45" w:rsidP="00A46BBA">
            <w:pPr>
              <w:rPr>
                <w:sz w:val="12"/>
                <w:szCs w:val="12"/>
                <w:vertAlign w:val="superscript"/>
              </w:rPr>
            </w:pPr>
            <w:r w:rsidRPr="000E2F45">
              <w:rPr>
                <w:i/>
                <w:sz w:val="12"/>
                <w:szCs w:val="12"/>
              </w:rPr>
              <w:t>Pravděpodobné</w:t>
            </w:r>
            <w:r>
              <w:rPr>
                <w:sz w:val="12"/>
                <w:szCs w:val="12"/>
              </w:rPr>
              <w:t xml:space="preserve"> změny v některých oblastech</w:t>
            </w:r>
            <w:r w:rsidR="00A46BBA">
              <w:rPr>
                <w:sz w:val="12"/>
                <w:szCs w:val="12"/>
                <w:vertAlign w:val="superscript"/>
              </w:rPr>
              <w:t>d</w:t>
            </w:r>
          </w:p>
          <w:p w:rsidR="000E2F45" w:rsidRPr="000E2F45" w:rsidRDefault="000E2F45" w:rsidP="000E2F45">
            <w:pPr>
              <w:jc w:val="right"/>
              <w:rPr>
                <w:sz w:val="12"/>
                <w:szCs w:val="12"/>
              </w:rPr>
            </w:pPr>
            <w:r>
              <w:rPr>
                <w:sz w:val="12"/>
                <w:szCs w:val="12"/>
              </w:rPr>
              <w:t xml:space="preserve">          </w:t>
            </w:r>
            <w:r>
              <w:rPr>
                <w:sz w:val="12"/>
                <w:szCs w:val="12"/>
                <w:lang w:val="en-US"/>
              </w:rPr>
              <w:t>{2.6}</w:t>
            </w:r>
          </w:p>
        </w:tc>
        <w:tc>
          <w:tcPr>
            <w:tcW w:w="2856" w:type="dxa"/>
            <w:tcBorders>
              <w:bottom w:val="nil"/>
            </w:tcBorders>
            <w:shd w:val="clear" w:color="auto" w:fill="FDE9D9" w:themeFill="accent6" w:themeFillTint="33"/>
          </w:tcPr>
          <w:p w:rsidR="00415379" w:rsidRPr="00A46BBA" w:rsidRDefault="00A46BBA" w:rsidP="005C7041">
            <w:pPr>
              <w:rPr>
                <w:sz w:val="12"/>
                <w:szCs w:val="12"/>
              </w:rPr>
            </w:pPr>
            <w:r w:rsidRPr="00A46BBA">
              <w:rPr>
                <w:b/>
                <w:sz w:val="12"/>
                <w:szCs w:val="12"/>
              </w:rPr>
              <w:t>Malá spolehlivost</w:t>
            </w:r>
            <w:r>
              <w:rPr>
                <w:sz w:val="12"/>
                <w:szCs w:val="12"/>
              </w:rPr>
              <w:t xml:space="preserve"> </w:t>
            </w:r>
            <w:r>
              <w:rPr>
                <w:sz w:val="12"/>
                <w:szCs w:val="12"/>
                <w:lang w:val="en-US"/>
              </w:rPr>
              <w:t xml:space="preserve">                                      {10.6}</w:t>
            </w:r>
          </w:p>
        </w:tc>
        <w:tc>
          <w:tcPr>
            <w:tcW w:w="2856" w:type="dxa"/>
            <w:tcBorders>
              <w:bottom w:val="nil"/>
            </w:tcBorders>
            <w:shd w:val="clear" w:color="auto" w:fill="FDE9D9" w:themeFill="accent6" w:themeFillTint="33"/>
          </w:tcPr>
          <w:p w:rsidR="00415379" w:rsidRPr="00A46BBA" w:rsidRDefault="00A46BBA" w:rsidP="00A46BBA">
            <w:pPr>
              <w:rPr>
                <w:sz w:val="12"/>
                <w:szCs w:val="12"/>
              </w:rPr>
            </w:pPr>
            <w:r w:rsidRPr="00A46BBA">
              <w:rPr>
                <w:b/>
                <w:sz w:val="12"/>
                <w:szCs w:val="12"/>
              </w:rPr>
              <w:t>Malá spolehlivost</w:t>
            </w:r>
            <w:r w:rsidRPr="00A46BBA">
              <w:rPr>
                <w:sz w:val="12"/>
                <w:szCs w:val="12"/>
                <w:vertAlign w:val="superscript"/>
              </w:rPr>
              <w:t>g</w:t>
            </w:r>
            <w:r>
              <w:rPr>
                <w:sz w:val="12"/>
                <w:szCs w:val="12"/>
              </w:rPr>
              <w:t xml:space="preserve">    </w:t>
            </w:r>
            <w:r w:rsidRPr="00A46BBA">
              <w:rPr>
                <w:sz w:val="12"/>
                <w:szCs w:val="12"/>
                <w:lang w:val="en-US"/>
              </w:rPr>
              <w:t xml:space="preserve">                                </w:t>
            </w:r>
            <w:r>
              <w:rPr>
                <w:sz w:val="12"/>
                <w:szCs w:val="12"/>
                <w:lang w:val="en-US"/>
              </w:rPr>
              <w:t>{11.3}</w:t>
            </w:r>
          </w:p>
        </w:tc>
        <w:tc>
          <w:tcPr>
            <w:tcW w:w="3071" w:type="dxa"/>
            <w:tcBorders>
              <w:bottom w:val="nil"/>
            </w:tcBorders>
            <w:shd w:val="clear" w:color="auto" w:fill="FDE9D9" w:themeFill="accent6" w:themeFillTint="33"/>
          </w:tcPr>
          <w:p w:rsidR="00415379" w:rsidRPr="0052258B" w:rsidRDefault="0052258B" w:rsidP="005C7041">
            <w:pPr>
              <w:rPr>
                <w:sz w:val="12"/>
                <w:szCs w:val="12"/>
              </w:rPr>
            </w:pPr>
            <w:r w:rsidRPr="0052258B">
              <w:rPr>
                <w:b/>
                <w:sz w:val="12"/>
                <w:szCs w:val="12"/>
              </w:rPr>
              <w:t>Pravděpodobné</w:t>
            </w:r>
            <w:r>
              <w:rPr>
                <w:sz w:val="12"/>
                <w:szCs w:val="12"/>
              </w:rPr>
              <w:t xml:space="preserve"> </w:t>
            </w:r>
            <w:r w:rsidRPr="0052258B">
              <w:rPr>
                <w:i/>
                <w:sz w:val="12"/>
                <w:szCs w:val="12"/>
              </w:rPr>
              <w:t>(střední spolehlivost)</w:t>
            </w:r>
            <w:r>
              <w:rPr>
                <w:sz w:val="12"/>
                <w:szCs w:val="12"/>
              </w:rPr>
              <w:t xml:space="preserve"> v regionálním až globálním měřítku</w:t>
            </w:r>
            <w:r>
              <w:rPr>
                <w:sz w:val="12"/>
                <w:szCs w:val="12"/>
                <w:vertAlign w:val="superscript"/>
              </w:rPr>
              <w:t>h</w:t>
            </w:r>
            <w:r>
              <w:rPr>
                <w:sz w:val="12"/>
                <w:szCs w:val="12"/>
              </w:rPr>
              <w:t xml:space="preserve">                                         </w:t>
            </w:r>
            <w:r>
              <w:rPr>
                <w:sz w:val="12"/>
                <w:szCs w:val="12"/>
                <w:lang w:val="en-US"/>
              </w:rPr>
              <w:t>{12.4}</w:t>
            </w:r>
          </w:p>
        </w:tc>
      </w:tr>
      <w:tr w:rsidR="00415379" w:rsidTr="005C7041">
        <w:tc>
          <w:tcPr>
            <w:tcW w:w="2891" w:type="dxa"/>
            <w:vMerge/>
            <w:shd w:val="clear" w:color="auto" w:fill="DBE5F1" w:themeFill="accent1" w:themeFillTint="33"/>
          </w:tcPr>
          <w:p w:rsidR="00415379" w:rsidRPr="00E12742" w:rsidRDefault="00415379" w:rsidP="005C7041">
            <w:pPr>
              <w:rPr>
                <w:b/>
                <w:sz w:val="12"/>
                <w:szCs w:val="12"/>
              </w:rPr>
            </w:pPr>
          </w:p>
        </w:tc>
        <w:tc>
          <w:tcPr>
            <w:tcW w:w="2856" w:type="dxa"/>
            <w:tcBorders>
              <w:top w:val="nil"/>
              <w:bottom w:val="single" w:sz="4" w:space="0" w:color="auto"/>
            </w:tcBorders>
          </w:tcPr>
          <w:p w:rsidR="00A46BBA" w:rsidRPr="00A46BBA" w:rsidRDefault="00A46BBA" w:rsidP="00A46BBA">
            <w:pPr>
              <w:shd w:val="clear" w:color="auto" w:fill="FFFFFF"/>
              <w:spacing w:line="163" w:lineRule="exact"/>
              <w:rPr>
                <w:color w:val="0F0089"/>
                <w:sz w:val="12"/>
                <w:szCs w:val="12"/>
              </w:rPr>
            </w:pPr>
            <w:r w:rsidRPr="00A46BBA">
              <w:rPr>
                <w:i/>
                <w:iCs/>
                <w:color w:val="0F0089"/>
                <w:sz w:val="12"/>
                <w:szCs w:val="12"/>
              </w:rPr>
              <w:t xml:space="preserve">Střední spolehlivost </w:t>
            </w:r>
            <w:r w:rsidRPr="00A46BBA">
              <w:rPr>
                <w:color w:val="0F0089"/>
                <w:sz w:val="12"/>
                <w:szCs w:val="12"/>
              </w:rPr>
              <w:t xml:space="preserve">v některých oblastech </w:t>
            </w:r>
          </w:p>
          <w:p w:rsidR="00415379" w:rsidRPr="00A46BBA" w:rsidRDefault="00A46BBA" w:rsidP="00A46BBA">
            <w:pPr>
              <w:rPr>
                <w:color w:val="FF0000"/>
                <w:sz w:val="12"/>
                <w:szCs w:val="12"/>
                <w:vertAlign w:val="superscript"/>
              </w:rPr>
            </w:pPr>
            <w:r w:rsidRPr="00A46BBA">
              <w:rPr>
                <w:i/>
                <w:iCs/>
                <w:color w:val="FF0000"/>
                <w:sz w:val="12"/>
                <w:szCs w:val="12"/>
              </w:rPr>
              <w:t xml:space="preserve">Pravděpodobné </w:t>
            </w:r>
            <w:r w:rsidRPr="00A46BBA">
              <w:rPr>
                <w:color w:val="FF0000"/>
                <w:sz w:val="12"/>
                <w:szCs w:val="12"/>
              </w:rPr>
              <w:t>v mnoha oblastech, od roku 1970</w:t>
            </w:r>
            <w:r>
              <w:rPr>
                <w:color w:val="FF0000"/>
                <w:sz w:val="12"/>
                <w:szCs w:val="12"/>
                <w:vertAlign w:val="superscript"/>
              </w:rPr>
              <w:t>e</w:t>
            </w:r>
          </w:p>
        </w:tc>
        <w:tc>
          <w:tcPr>
            <w:tcW w:w="2856" w:type="dxa"/>
            <w:tcBorders>
              <w:top w:val="nil"/>
              <w:bottom w:val="single" w:sz="4" w:space="0" w:color="auto"/>
            </w:tcBorders>
          </w:tcPr>
          <w:p w:rsidR="00A46BBA" w:rsidRDefault="00A46BBA" w:rsidP="00A46BBA">
            <w:pPr>
              <w:shd w:val="clear" w:color="auto" w:fill="FFFFFF"/>
              <w:spacing w:line="163" w:lineRule="exact"/>
              <w:rPr>
                <w:color w:val="0F0089"/>
                <w:spacing w:val="1"/>
                <w:sz w:val="12"/>
                <w:szCs w:val="12"/>
              </w:rPr>
            </w:pPr>
            <w:r w:rsidRPr="00A46BBA">
              <w:rPr>
                <w:i/>
                <w:iCs/>
                <w:color w:val="0F0089"/>
                <w:spacing w:val="1"/>
                <w:sz w:val="12"/>
                <w:szCs w:val="12"/>
              </w:rPr>
              <w:t>Střední spolehlivost</w:t>
            </w:r>
            <w:r>
              <w:rPr>
                <w:i/>
                <w:iCs/>
                <w:color w:val="0F0089"/>
                <w:spacing w:val="1"/>
                <w:sz w:val="12"/>
                <w:szCs w:val="12"/>
                <w:vertAlign w:val="superscript"/>
              </w:rPr>
              <w:t>f</w:t>
            </w:r>
            <w:r w:rsidRPr="00A46BBA">
              <w:rPr>
                <w:color w:val="0F0089"/>
                <w:spacing w:val="1"/>
                <w:sz w:val="12"/>
                <w:szCs w:val="12"/>
              </w:rPr>
              <w:t xml:space="preserve"> </w:t>
            </w:r>
          </w:p>
          <w:p w:rsidR="00415379" w:rsidRPr="00A46BBA" w:rsidRDefault="00A46BBA" w:rsidP="00A46BBA">
            <w:pPr>
              <w:rPr>
                <w:color w:val="FF0000"/>
                <w:sz w:val="12"/>
                <w:szCs w:val="12"/>
              </w:rPr>
            </w:pPr>
            <w:r w:rsidRPr="00A46BBA">
              <w:rPr>
                <w:i/>
                <w:iCs/>
                <w:color w:val="FF0000"/>
                <w:spacing w:val="1"/>
                <w:sz w:val="12"/>
                <w:szCs w:val="12"/>
              </w:rPr>
              <w:t>Více pravděpodobné než nepravděpodobné</w:t>
            </w:r>
          </w:p>
        </w:tc>
        <w:tc>
          <w:tcPr>
            <w:tcW w:w="2856" w:type="dxa"/>
            <w:tcBorders>
              <w:top w:val="nil"/>
              <w:bottom w:val="single" w:sz="4" w:space="0" w:color="auto"/>
            </w:tcBorders>
          </w:tcPr>
          <w:p w:rsidR="00415379" w:rsidRPr="00E12742" w:rsidRDefault="00415379" w:rsidP="005C7041">
            <w:pPr>
              <w:rPr>
                <w:sz w:val="12"/>
                <w:szCs w:val="12"/>
              </w:rPr>
            </w:pPr>
          </w:p>
        </w:tc>
        <w:tc>
          <w:tcPr>
            <w:tcW w:w="3071" w:type="dxa"/>
            <w:tcBorders>
              <w:top w:val="nil"/>
              <w:bottom w:val="single" w:sz="4" w:space="0" w:color="auto"/>
            </w:tcBorders>
          </w:tcPr>
          <w:p w:rsidR="0052258B" w:rsidRPr="0052258B" w:rsidRDefault="0052258B" w:rsidP="0052258B">
            <w:pPr>
              <w:shd w:val="clear" w:color="auto" w:fill="FFFFFF"/>
              <w:spacing w:line="197" w:lineRule="exact"/>
              <w:rPr>
                <w:color w:val="0F0089"/>
                <w:sz w:val="12"/>
                <w:szCs w:val="12"/>
              </w:rPr>
            </w:pPr>
            <w:r w:rsidRPr="0052258B">
              <w:rPr>
                <w:i/>
                <w:iCs/>
                <w:color w:val="0F0089"/>
                <w:sz w:val="12"/>
                <w:szCs w:val="12"/>
              </w:rPr>
              <w:t xml:space="preserve">Střední spolehlivost </w:t>
            </w:r>
            <w:r w:rsidRPr="0052258B">
              <w:rPr>
                <w:color w:val="0F0089"/>
                <w:sz w:val="12"/>
                <w:szCs w:val="12"/>
              </w:rPr>
              <w:t xml:space="preserve">v některých oblastech </w:t>
            </w:r>
          </w:p>
          <w:p w:rsidR="00415379" w:rsidRPr="0052258B" w:rsidRDefault="0052258B" w:rsidP="0052258B">
            <w:pPr>
              <w:rPr>
                <w:color w:val="FF0000"/>
                <w:sz w:val="12"/>
                <w:szCs w:val="12"/>
              </w:rPr>
            </w:pPr>
            <w:r w:rsidRPr="0052258B">
              <w:rPr>
                <w:i/>
                <w:iCs/>
                <w:color w:val="FF0000"/>
                <w:spacing w:val="1"/>
                <w:sz w:val="12"/>
                <w:szCs w:val="12"/>
              </w:rPr>
              <w:t>Pravděpodobné</w:t>
            </w:r>
            <w:r w:rsidRPr="0052258B">
              <w:rPr>
                <w:i/>
                <w:iCs/>
                <w:color w:val="FF0000"/>
                <w:spacing w:val="1"/>
                <w:sz w:val="12"/>
                <w:szCs w:val="12"/>
                <w:vertAlign w:val="superscript"/>
              </w:rPr>
              <w:t>e</w:t>
            </w:r>
          </w:p>
        </w:tc>
      </w:tr>
      <w:tr w:rsidR="00415379" w:rsidTr="0052258B">
        <w:tc>
          <w:tcPr>
            <w:tcW w:w="2891" w:type="dxa"/>
            <w:vMerge w:val="restart"/>
            <w:shd w:val="clear" w:color="auto" w:fill="DBE5F1" w:themeFill="accent1" w:themeFillTint="33"/>
            <w:vAlign w:val="center"/>
          </w:tcPr>
          <w:p w:rsidR="00415379" w:rsidRPr="00E12742" w:rsidRDefault="0052258B" w:rsidP="0052258B">
            <w:pPr>
              <w:rPr>
                <w:b/>
                <w:sz w:val="12"/>
                <w:szCs w:val="12"/>
              </w:rPr>
            </w:pPr>
            <w:r>
              <w:rPr>
                <w:b/>
                <w:sz w:val="12"/>
                <w:szCs w:val="12"/>
              </w:rPr>
              <w:t>Zvýšení aktivity intenzivních tropických cyklonů</w:t>
            </w:r>
          </w:p>
        </w:tc>
        <w:tc>
          <w:tcPr>
            <w:tcW w:w="2856" w:type="dxa"/>
            <w:tcBorders>
              <w:bottom w:val="nil"/>
            </w:tcBorders>
            <w:shd w:val="clear" w:color="auto" w:fill="FDE9D9" w:themeFill="accent6" w:themeFillTint="33"/>
          </w:tcPr>
          <w:p w:rsidR="00415379" w:rsidRDefault="0052258B" w:rsidP="005C7041">
            <w:pPr>
              <w:rPr>
                <w:sz w:val="12"/>
                <w:szCs w:val="12"/>
              </w:rPr>
            </w:pPr>
            <w:r w:rsidRPr="0052258B">
              <w:rPr>
                <w:b/>
                <w:sz w:val="12"/>
                <w:szCs w:val="12"/>
              </w:rPr>
              <w:t>Malá spolehlivost</w:t>
            </w:r>
            <w:r>
              <w:rPr>
                <w:sz w:val="12"/>
                <w:szCs w:val="12"/>
              </w:rPr>
              <w:t xml:space="preserve"> dlouhodobých (staletých) změn</w:t>
            </w:r>
          </w:p>
          <w:p w:rsidR="00C65B3D" w:rsidRDefault="0052258B" w:rsidP="005C7041">
            <w:pPr>
              <w:rPr>
                <w:sz w:val="12"/>
                <w:szCs w:val="12"/>
              </w:rPr>
            </w:pPr>
            <w:r w:rsidRPr="0052258B">
              <w:rPr>
                <w:i/>
                <w:sz w:val="12"/>
                <w:szCs w:val="12"/>
              </w:rPr>
              <w:t>Prakticky jisté</w:t>
            </w:r>
            <w:r>
              <w:rPr>
                <w:sz w:val="12"/>
                <w:szCs w:val="12"/>
              </w:rPr>
              <w:t xml:space="preserve"> v severním Atlantiku od roku 1970</w:t>
            </w:r>
            <w:r w:rsidR="00C65B3D">
              <w:rPr>
                <w:sz w:val="12"/>
                <w:szCs w:val="12"/>
              </w:rPr>
              <w:t xml:space="preserve"> </w:t>
            </w:r>
          </w:p>
          <w:p w:rsidR="0052258B" w:rsidRPr="00C65B3D" w:rsidRDefault="00C65B3D" w:rsidP="00C65B3D">
            <w:pPr>
              <w:jc w:val="right"/>
              <w:rPr>
                <w:sz w:val="12"/>
                <w:szCs w:val="12"/>
              </w:rPr>
            </w:pPr>
            <w:r>
              <w:rPr>
                <w:sz w:val="12"/>
                <w:szCs w:val="12"/>
                <w:lang w:val="en-US"/>
              </w:rPr>
              <w:t>{2.6}</w:t>
            </w:r>
          </w:p>
        </w:tc>
        <w:tc>
          <w:tcPr>
            <w:tcW w:w="2856" w:type="dxa"/>
            <w:tcBorders>
              <w:bottom w:val="nil"/>
            </w:tcBorders>
            <w:shd w:val="clear" w:color="auto" w:fill="FDE9D9" w:themeFill="accent6" w:themeFillTint="33"/>
          </w:tcPr>
          <w:p w:rsidR="00415379" w:rsidRPr="00E12742" w:rsidRDefault="0052258B" w:rsidP="005C7041">
            <w:pPr>
              <w:rPr>
                <w:sz w:val="12"/>
                <w:szCs w:val="12"/>
              </w:rPr>
            </w:pPr>
            <w:r w:rsidRPr="00A46BBA">
              <w:rPr>
                <w:b/>
                <w:sz w:val="12"/>
                <w:szCs w:val="12"/>
              </w:rPr>
              <w:t>Malá spolehlivost</w:t>
            </w:r>
            <w:r>
              <w:rPr>
                <w:sz w:val="12"/>
                <w:szCs w:val="12"/>
              </w:rPr>
              <w:t xml:space="preserve"> </w:t>
            </w:r>
            <w:r>
              <w:rPr>
                <w:sz w:val="12"/>
                <w:szCs w:val="12"/>
                <w:vertAlign w:val="superscript"/>
              </w:rPr>
              <w:t>i</w:t>
            </w:r>
            <w:r>
              <w:rPr>
                <w:sz w:val="12"/>
                <w:szCs w:val="12"/>
                <w:lang w:val="en-US"/>
              </w:rPr>
              <w:t xml:space="preserve">                                      {10.6}</w:t>
            </w:r>
          </w:p>
        </w:tc>
        <w:tc>
          <w:tcPr>
            <w:tcW w:w="2856" w:type="dxa"/>
            <w:tcBorders>
              <w:bottom w:val="nil"/>
            </w:tcBorders>
            <w:shd w:val="clear" w:color="auto" w:fill="FDE9D9" w:themeFill="accent6" w:themeFillTint="33"/>
          </w:tcPr>
          <w:p w:rsidR="00415379" w:rsidRPr="00E12742" w:rsidRDefault="0052258B" w:rsidP="005C7041">
            <w:pPr>
              <w:rPr>
                <w:sz w:val="12"/>
                <w:szCs w:val="12"/>
              </w:rPr>
            </w:pPr>
            <w:r w:rsidRPr="00A46BBA">
              <w:rPr>
                <w:b/>
                <w:sz w:val="12"/>
                <w:szCs w:val="12"/>
              </w:rPr>
              <w:t>Malá spolehlivost</w:t>
            </w:r>
            <w:r>
              <w:rPr>
                <w:sz w:val="12"/>
                <w:szCs w:val="12"/>
              </w:rPr>
              <w:t xml:space="preserve">    </w:t>
            </w:r>
            <w:r w:rsidRPr="00A46BBA">
              <w:rPr>
                <w:sz w:val="12"/>
                <w:szCs w:val="12"/>
                <w:lang w:val="en-US"/>
              </w:rPr>
              <w:t xml:space="preserve">                       </w:t>
            </w:r>
            <w:r w:rsidR="00C65B3D">
              <w:rPr>
                <w:sz w:val="12"/>
                <w:szCs w:val="12"/>
                <w:lang w:val="en-US"/>
              </w:rPr>
              <w:t xml:space="preserve">  </w:t>
            </w:r>
            <w:r w:rsidRPr="00A46BBA">
              <w:rPr>
                <w:sz w:val="12"/>
                <w:szCs w:val="12"/>
                <w:lang w:val="en-US"/>
              </w:rPr>
              <w:t xml:space="preserve">         </w:t>
            </w:r>
            <w:r>
              <w:rPr>
                <w:sz w:val="12"/>
                <w:szCs w:val="12"/>
                <w:lang w:val="en-US"/>
              </w:rPr>
              <w:t>{11.3}</w:t>
            </w:r>
          </w:p>
        </w:tc>
        <w:tc>
          <w:tcPr>
            <w:tcW w:w="3071" w:type="dxa"/>
            <w:tcBorders>
              <w:bottom w:val="nil"/>
            </w:tcBorders>
            <w:shd w:val="clear" w:color="auto" w:fill="FDE9D9" w:themeFill="accent6" w:themeFillTint="33"/>
          </w:tcPr>
          <w:p w:rsidR="0052258B" w:rsidRDefault="0052258B" w:rsidP="005C7041">
            <w:pPr>
              <w:rPr>
                <w:sz w:val="12"/>
                <w:szCs w:val="12"/>
                <w:vertAlign w:val="superscript"/>
              </w:rPr>
            </w:pPr>
            <w:r w:rsidRPr="0052258B">
              <w:rPr>
                <w:b/>
                <w:sz w:val="12"/>
                <w:szCs w:val="12"/>
              </w:rPr>
              <w:t>Více pravděpodobné než nepravděpodobné</w:t>
            </w:r>
            <w:r>
              <w:rPr>
                <w:sz w:val="12"/>
                <w:szCs w:val="12"/>
              </w:rPr>
              <w:t xml:space="preserve"> v severozápadním Pacifiku a severním Atlantiku</w:t>
            </w:r>
            <w:r>
              <w:rPr>
                <w:sz w:val="12"/>
                <w:szCs w:val="12"/>
                <w:vertAlign w:val="superscript"/>
              </w:rPr>
              <w:t>j</w:t>
            </w:r>
          </w:p>
          <w:p w:rsidR="00415379" w:rsidRPr="0052258B" w:rsidRDefault="0052258B" w:rsidP="0052258B">
            <w:pPr>
              <w:jc w:val="right"/>
              <w:rPr>
                <w:sz w:val="12"/>
                <w:szCs w:val="12"/>
                <w:lang w:val="en-US"/>
              </w:rPr>
            </w:pPr>
            <w:r>
              <w:rPr>
                <w:sz w:val="12"/>
                <w:szCs w:val="12"/>
                <w:lang w:val="en-US"/>
              </w:rPr>
              <w:t>{</w:t>
            </w:r>
            <w:r>
              <w:rPr>
                <w:sz w:val="12"/>
                <w:szCs w:val="12"/>
              </w:rPr>
              <w:t>14.6</w:t>
            </w:r>
            <w:r>
              <w:rPr>
                <w:sz w:val="12"/>
                <w:szCs w:val="12"/>
                <w:lang w:val="en-US"/>
              </w:rPr>
              <w:t>}</w:t>
            </w:r>
          </w:p>
        </w:tc>
      </w:tr>
      <w:tr w:rsidR="00415379" w:rsidTr="005C7041">
        <w:tc>
          <w:tcPr>
            <w:tcW w:w="2891" w:type="dxa"/>
            <w:vMerge/>
            <w:shd w:val="clear" w:color="auto" w:fill="DBE5F1" w:themeFill="accent1" w:themeFillTint="33"/>
          </w:tcPr>
          <w:p w:rsidR="00415379" w:rsidRPr="00E12742" w:rsidRDefault="00415379" w:rsidP="005C7041">
            <w:pPr>
              <w:rPr>
                <w:b/>
                <w:sz w:val="12"/>
                <w:szCs w:val="12"/>
              </w:rPr>
            </w:pPr>
          </w:p>
        </w:tc>
        <w:tc>
          <w:tcPr>
            <w:tcW w:w="2856" w:type="dxa"/>
            <w:tcBorders>
              <w:top w:val="nil"/>
              <w:bottom w:val="single" w:sz="4" w:space="0" w:color="auto"/>
            </w:tcBorders>
          </w:tcPr>
          <w:p w:rsidR="0052258B" w:rsidRPr="0052258B" w:rsidRDefault="0052258B" w:rsidP="0052258B">
            <w:pPr>
              <w:shd w:val="clear" w:color="auto" w:fill="FFFFFF"/>
              <w:spacing w:line="163" w:lineRule="exact"/>
              <w:rPr>
                <w:i/>
                <w:iCs/>
                <w:color w:val="0F0089"/>
                <w:sz w:val="12"/>
                <w:szCs w:val="12"/>
              </w:rPr>
            </w:pPr>
            <w:r w:rsidRPr="0052258B">
              <w:rPr>
                <w:i/>
                <w:iCs/>
                <w:color w:val="0F0089"/>
                <w:sz w:val="12"/>
                <w:szCs w:val="12"/>
              </w:rPr>
              <w:t>Malá spolehlivost</w:t>
            </w:r>
          </w:p>
          <w:p w:rsidR="00415379" w:rsidRPr="0052258B" w:rsidRDefault="0052258B" w:rsidP="0052258B">
            <w:pPr>
              <w:rPr>
                <w:color w:val="FF0000"/>
                <w:sz w:val="12"/>
                <w:szCs w:val="12"/>
              </w:rPr>
            </w:pPr>
            <w:r w:rsidRPr="0052258B">
              <w:rPr>
                <w:i/>
                <w:iCs/>
                <w:color w:val="FF0000"/>
                <w:sz w:val="12"/>
                <w:szCs w:val="12"/>
              </w:rPr>
              <w:t xml:space="preserve">Pravděpodobné </w:t>
            </w:r>
            <w:r w:rsidRPr="0052258B">
              <w:rPr>
                <w:color w:val="FF0000"/>
                <w:sz w:val="12"/>
                <w:szCs w:val="12"/>
              </w:rPr>
              <w:t>(v některých oblastech, od roku 1970)</w:t>
            </w:r>
          </w:p>
        </w:tc>
        <w:tc>
          <w:tcPr>
            <w:tcW w:w="2856" w:type="dxa"/>
            <w:tcBorders>
              <w:top w:val="nil"/>
              <w:bottom w:val="single" w:sz="4" w:space="0" w:color="auto"/>
            </w:tcBorders>
          </w:tcPr>
          <w:p w:rsidR="0052258B" w:rsidRPr="0052258B" w:rsidRDefault="0052258B" w:rsidP="0052258B">
            <w:pPr>
              <w:shd w:val="clear" w:color="auto" w:fill="FFFFFF"/>
              <w:spacing w:line="163" w:lineRule="exact"/>
              <w:rPr>
                <w:i/>
                <w:iCs/>
                <w:color w:val="0F0089"/>
                <w:sz w:val="12"/>
                <w:szCs w:val="12"/>
              </w:rPr>
            </w:pPr>
            <w:r w:rsidRPr="0052258B">
              <w:rPr>
                <w:i/>
                <w:iCs/>
                <w:color w:val="0F0089"/>
                <w:sz w:val="12"/>
                <w:szCs w:val="12"/>
              </w:rPr>
              <w:t xml:space="preserve">Malá spolehlivost  </w:t>
            </w:r>
          </w:p>
          <w:p w:rsidR="00415379" w:rsidRPr="0052258B" w:rsidRDefault="0052258B" w:rsidP="0052258B">
            <w:pPr>
              <w:rPr>
                <w:color w:val="FF0000"/>
                <w:sz w:val="12"/>
                <w:szCs w:val="12"/>
              </w:rPr>
            </w:pPr>
            <w:r w:rsidRPr="0052258B">
              <w:rPr>
                <w:i/>
                <w:iCs/>
                <w:color w:val="FF0000"/>
                <w:spacing w:val="1"/>
                <w:sz w:val="12"/>
                <w:szCs w:val="12"/>
              </w:rPr>
              <w:t>Více pravděpodobné než nepravděpodobné</w:t>
            </w:r>
          </w:p>
        </w:tc>
        <w:tc>
          <w:tcPr>
            <w:tcW w:w="2856" w:type="dxa"/>
            <w:tcBorders>
              <w:top w:val="nil"/>
              <w:bottom w:val="single" w:sz="4" w:space="0" w:color="auto"/>
            </w:tcBorders>
          </w:tcPr>
          <w:p w:rsidR="00415379" w:rsidRPr="00E12742" w:rsidRDefault="00415379" w:rsidP="005C7041">
            <w:pPr>
              <w:rPr>
                <w:sz w:val="12"/>
                <w:szCs w:val="12"/>
              </w:rPr>
            </w:pPr>
          </w:p>
        </w:tc>
        <w:tc>
          <w:tcPr>
            <w:tcW w:w="3071" w:type="dxa"/>
            <w:tcBorders>
              <w:top w:val="nil"/>
              <w:bottom w:val="single" w:sz="4" w:space="0" w:color="auto"/>
            </w:tcBorders>
          </w:tcPr>
          <w:p w:rsidR="0052258B" w:rsidRPr="0052258B" w:rsidRDefault="0052258B" w:rsidP="0052258B">
            <w:pPr>
              <w:shd w:val="clear" w:color="auto" w:fill="FFFFFF"/>
              <w:spacing w:line="163" w:lineRule="exact"/>
              <w:rPr>
                <w:color w:val="0F0089"/>
                <w:sz w:val="12"/>
                <w:szCs w:val="12"/>
              </w:rPr>
            </w:pPr>
            <w:r w:rsidRPr="0052258B">
              <w:rPr>
                <w:i/>
                <w:iCs/>
                <w:color w:val="0F0089"/>
                <w:sz w:val="12"/>
                <w:szCs w:val="12"/>
              </w:rPr>
              <w:t xml:space="preserve">Více pravděpodobné než nepravděpodobné </w:t>
            </w:r>
            <w:r w:rsidRPr="0052258B">
              <w:rPr>
                <w:color w:val="0F0089"/>
                <w:sz w:val="12"/>
                <w:szCs w:val="12"/>
              </w:rPr>
              <w:t xml:space="preserve">v některých pánvích </w:t>
            </w:r>
          </w:p>
          <w:p w:rsidR="00415379" w:rsidRPr="0052258B" w:rsidRDefault="0052258B" w:rsidP="005C7041">
            <w:pPr>
              <w:rPr>
                <w:color w:val="FF0000"/>
                <w:sz w:val="12"/>
                <w:szCs w:val="12"/>
              </w:rPr>
            </w:pPr>
            <w:r w:rsidRPr="0052258B">
              <w:rPr>
                <w:i/>
                <w:iCs/>
                <w:color w:val="FF0000"/>
                <w:spacing w:val="1"/>
                <w:sz w:val="12"/>
                <w:szCs w:val="12"/>
              </w:rPr>
              <w:t>Pravděpodobné</w:t>
            </w:r>
          </w:p>
        </w:tc>
      </w:tr>
      <w:tr w:rsidR="00415379" w:rsidTr="00C65B3D">
        <w:tc>
          <w:tcPr>
            <w:tcW w:w="2891" w:type="dxa"/>
            <w:vMerge w:val="restart"/>
            <w:shd w:val="clear" w:color="auto" w:fill="DBE5F1" w:themeFill="accent1" w:themeFillTint="33"/>
            <w:vAlign w:val="center"/>
          </w:tcPr>
          <w:p w:rsidR="00415379" w:rsidRPr="00E12742" w:rsidRDefault="00C65B3D" w:rsidP="00C65B3D">
            <w:pPr>
              <w:rPr>
                <w:b/>
                <w:sz w:val="12"/>
                <w:szCs w:val="12"/>
              </w:rPr>
            </w:pPr>
            <w:r>
              <w:rPr>
                <w:b/>
                <w:sz w:val="12"/>
                <w:szCs w:val="12"/>
              </w:rPr>
              <w:t>Vyšší výskyt a/nebo rozsah extrémně vysoké hladiny oceánu</w:t>
            </w:r>
          </w:p>
        </w:tc>
        <w:tc>
          <w:tcPr>
            <w:tcW w:w="2856" w:type="dxa"/>
            <w:tcBorders>
              <w:bottom w:val="nil"/>
            </w:tcBorders>
            <w:shd w:val="clear" w:color="auto" w:fill="FDE9D9" w:themeFill="accent6" w:themeFillTint="33"/>
          </w:tcPr>
          <w:p w:rsidR="00415379" w:rsidRPr="00C65B3D" w:rsidRDefault="00C65B3D" w:rsidP="005C7041">
            <w:pPr>
              <w:rPr>
                <w:sz w:val="12"/>
                <w:szCs w:val="12"/>
              </w:rPr>
            </w:pPr>
            <w:r w:rsidRPr="00C65B3D">
              <w:rPr>
                <w:i/>
                <w:sz w:val="12"/>
                <w:szCs w:val="12"/>
              </w:rPr>
              <w:t>Pravděpodobné</w:t>
            </w:r>
            <w:r>
              <w:rPr>
                <w:sz w:val="12"/>
                <w:szCs w:val="12"/>
              </w:rPr>
              <w:t xml:space="preserve"> (od roku 1970)                     </w:t>
            </w:r>
            <w:r>
              <w:rPr>
                <w:sz w:val="12"/>
                <w:szCs w:val="12"/>
                <w:lang w:val="en-US"/>
              </w:rPr>
              <w:t>{3.7}</w:t>
            </w:r>
          </w:p>
        </w:tc>
        <w:tc>
          <w:tcPr>
            <w:tcW w:w="2856" w:type="dxa"/>
            <w:tcBorders>
              <w:bottom w:val="nil"/>
            </w:tcBorders>
            <w:shd w:val="clear" w:color="auto" w:fill="FDE9D9" w:themeFill="accent6" w:themeFillTint="33"/>
          </w:tcPr>
          <w:p w:rsidR="00415379" w:rsidRPr="00C65B3D" w:rsidRDefault="00C65B3D" w:rsidP="005C7041">
            <w:pPr>
              <w:rPr>
                <w:b/>
                <w:sz w:val="12"/>
                <w:szCs w:val="12"/>
                <w:lang w:val="en-US"/>
              </w:rPr>
            </w:pPr>
            <w:r w:rsidRPr="00C65B3D">
              <w:rPr>
                <w:b/>
                <w:sz w:val="12"/>
                <w:szCs w:val="12"/>
              </w:rPr>
              <w:t>Pravděpodobné</w:t>
            </w:r>
            <w:r>
              <w:rPr>
                <w:b/>
                <w:sz w:val="12"/>
                <w:szCs w:val="12"/>
                <w:vertAlign w:val="superscript"/>
              </w:rPr>
              <w:t>k</w:t>
            </w:r>
            <w:r>
              <w:rPr>
                <w:b/>
                <w:sz w:val="12"/>
                <w:szCs w:val="12"/>
              </w:rPr>
              <w:t xml:space="preserve"> </w:t>
            </w:r>
            <w:r w:rsidRPr="00C65B3D">
              <w:rPr>
                <w:sz w:val="12"/>
                <w:szCs w:val="12"/>
                <w:lang w:val="en-US"/>
              </w:rPr>
              <w:t>{</w:t>
            </w:r>
            <w:r>
              <w:rPr>
                <w:sz w:val="12"/>
                <w:szCs w:val="12"/>
                <w:lang w:val="en-US"/>
              </w:rPr>
              <w:t>3.7</w:t>
            </w:r>
            <w:r w:rsidRPr="00C65B3D">
              <w:rPr>
                <w:sz w:val="12"/>
                <w:szCs w:val="12"/>
                <w:lang w:val="en-US"/>
              </w:rPr>
              <w:t>}</w:t>
            </w:r>
          </w:p>
        </w:tc>
        <w:tc>
          <w:tcPr>
            <w:tcW w:w="2856" w:type="dxa"/>
            <w:tcBorders>
              <w:bottom w:val="nil"/>
            </w:tcBorders>
            <w:shd w:val="clear" w:color="auto" w:fill="FDE9D9" w:themeFill="accent6" w:themeFillTint="33"/>
          </w:tcPr>
          <w:p w:rsidR="00415379" w:rsidRPr="00C65B3D" w:rsidRDefault="00C65B3D" w:rsidP="005C7041">
            <w:pPr>
              <w:rPr>
                <w:sz w:val="12"/>
                <w:szCs w:val="12"/>
                <w:lang w:val="en-US"/>
              </w:rPr>
            </w:pPr>
            <w:r w:rsidRPr="00C65B3D">
              <w:rPr>
                <w:i/>
                <w:sz w:val="12"/>
                <w:szCs w:val="12"/>
              </w:rPr>
              <w:t>Pravděpodobné</w:t>
            </w:r>
            <w:r>
              <w:rPr>
                <w:sz w:val="12"/>
                <w:szCs w:val="12"/>
                <w:vertAlign w:val="superscript"/>
              </w:rPr>
              <w:t>l</w:t>
            </w:r>
            <w:r>
              <w:rPr>
                <w:sz w:val="12"/>
                <w:szCs w:val="12"/>
              </w:rPr>
              <w:t xml:space="preserve">                                           </w:t>
            </w:r>
            <w:r>
              <w:rPr>
                <w:sz w:val="12"/>
                <w:szCs w:val="12"/>
                <w:lang w:val="en-US"/>
              </w:rPr>
              <w:t>{13.7}</w:t>
            </w:r>
          </w:p>
        </w:tc>
        <w:tc>
          <w:tcPr>
            <w:tcW w:w="3071" w:type="dxa"/>
            <w:tcBorders>
              <w:bottom w:val="nil"/>
            </w:tcBorders>
            <w:shd w:val="clear" w:color="auto" w:fill="FDE9D9" w:themeFill="accent6" w:themeFillTint="33"/>
          </w:tcPr>
          <w:p w:rsidR="00415379" w:rsidRPr="00C65B3D" w:rsidRDefault="00C65B3D" w:rsidP="00C65B3D">
            <w:pPr>
              <w:rPr>
                <w:sz w:val="12"/>
                <w:szCs w:val="12"/>
              </w:rPr>
            </w:pPr>
            <w:r w:rsidRPr="00C65B3D">
              <w:rPr>
                <w:b/>
                <w:sz w:val="12"/>
                <w:szCs w:val="12"/>
              </w:rPr>
              <w:t>Velmi pravděpodobné</w:t>
            </w:r>
            <w:r>
              <w:rPr>
                <w:sz w:val="12"/>
                <w:szCs w:val="12"/>
                <w:vertAlign w:val="superscript"/>
              </w:rPr>
              <w:t>l</w:t>
            </w:r>
            <w:r>
              <w:rPr>
                <w:sz w:val="12"/>
                <w:szCs w:val="12"/>
              </w:rPr>
              <w:t xml:space="preserve"> </w:t>
            </w:r>
            <w:r>
              <w:rPr>
                <w:sz w:val="12"/>
                <w:szCs w:val="12"/>
                <w:lang w:val="en-US"/>
              </w:rPr>
              <w:t>{13.7}</w:t>
            </w:r>
          </w:p>
        </w:tc>
      </w:tr>
      <w:tr w:rsidR="00415379" w:rsidTr="005C7041">
        <w:tc>
          <w:tcPr>
            <w:tcW w:w="2891" w:type="dxa"/>
            <w:vMerge/>
            <w:shd w:val="clear" w:color="auto" w:fill="DBE5F1" w:themeFill="accent1" w:themeFillTint="33"/>
          </w:tcPr>
          <w:p w:rsidR="00415379" w:rsidRPr="00E12742" w:rsidRDefault="00415379" w:rsidP="005C7041">
            <w:pPr>
              <w:rPr>
                <w:b/>
                <w:sz w:val="12"/>
                <w:szCs w:val="12"/>
              </w:rPr>
            </w:pPr>
          </w:p>
        </w:tc>
        <w:tc>
          <w:tcPr>
            <w:tcW w:w="2856" w:type="dxa"/>
            <w:tcBorders>
              <w:top w:val="nil"/>
            </w:tcBorders>
          </w:tcPr>
          <w:p w:rsidR="00C65B3D" w:rsidRPr="00C65B3D" w:rsidRDefault="00C65B3D" w:rsidP="00C65B3D">
            <w:pPr>
              <w:shd w:val="clear" w:color="auto" w:fill="FFFFFF"/>
              <w:spacing w:line="158" w:lineRule="exact"/>
              <w:rPr>
                <w:color w:val="0F0089"/>
                <w:sz w:val="12"/>
                <w:szCs w:val="12"/>
              </w:rPr>
            </w:pPr>
            <w:r w:rsidRPr="00C65B3D">
              <w:rPr>
                <w:i/>
                <w:iCs/>
                <w:color w:val="0F0089"/>
                <w:sz w:val="12"/>
                <w:szCs w:val="12"/>
              </w:rPr>
              <w:t xml:space="preserve">Pravděpodobné </w:t>
            </w:r>
            <w:r w:rsidRPr="00C65B3D">
              <w:rPr>
                <w:color w:val="0F0089"/>
                <w:sz w:val="12"/>
                <w:szCs w:val="12"/>
              </w:rPr>
              <w:t xml:space="preserve">(konec 20. století) </w:t>
            </w:r>
          </w:p>
          <w:p w:rsidR="00415379" w:rsidRPr="00C65B3D" w:rsidRDefault="00C65B3D" w:rsidP="00C65B3D">
            <w:pPr>
              <w:rPr>
                <w:color w:val="FF0000"/>
                <w:sz w:val="12"/>
                <w:szCs w:val="12"/>
              </w:rPr>
            </w:pPr>
            <w:r w:rsidRPr="00C65B3D">
              <w:rPr>
                <w:i/>
                <w:iCs/>
                <w:color w:val="FF0000"/>
                <w:spacing w:val="1"/>
                <w:sz w:val="12"/>
                <w:szCs w:val="12"/>
              </w:rPr>
              <w:t>Pravděpodobné</w:t>
            </w:r>
          </w:p>
        </w:tc>
        <w:tc>
          <w:tcPr>
            <w:tcW w:w="2856" w:type="dxa"/>
            <w:tcBorders>
              <w:top w:val="nil"/>
            </w:tcBorders>
          </w:tcPr>
          <w:p w:rsidR="00C65B3D" w:rsidRPr="00C65B3D" w:rsidRDefault="00C65B3D" w:rsidP="00C65B3D">
            <w:pPr>
              <w:shd w:val="clear" w:color="auto" w:fill="FFFFFF"/>
              <w:spacing w:line="158" w:lineRule="exact"/>
              <w:rPr>
                <w:color w:val="0F0089"/>
                <w:sz w:val="12"/>
                <w:szCs w:val="12"/>
              </w:rPr>
            </w:pPr>
            <w:r w:rsidRPr="00C65B3D">
              <w:rPr>
                <w:i/>
                <w:iCs/>
                <w:color w:val="0F0089"/>
                <w:sz w:val="12"/>
                <w:szCs w:val="12"/>
              </w:rPr>
              <w:t>Pravděpodobné</w:t>
            </w:r>
            <w:r>
              <w:rPr>
                <w:i/>
                <w:iCs/>
                <w:color w:val="0F0089"/>
                <w:sz w:val="12"/>
                <w:szCs w:val="12"/>
                <w:vertAlign w:val="superscript"/>
              </w:rPr>
              <w:t>k</w:t>
            </w:r>
            <w:r w:rsidRPr="00C65B3D">
              <w:rPr>
                <w:color w:val="0F0089"/>
                <w:sz w:val="12"/>
                <w:szCs w:val="12"/>
              </w:rPr>
              <w:t xml:space="preserve"> </w:t>
            </w:r>
          </w:p>
          <w:p w:rsidR="00415379" w:rsidRPr="00C65B3D" w:rsidRDefault="00C65B3D" w:rsidP="00C65B3D">
            <w:pPr>
              <w:rPr>
                <w:color w:val="FF0000"/>
                <w:sz w:val="12"/>
                <w:szCs w:val="12"/>
                <w:vertAlign w:val="superscript"/>
              </w:rPr>
            </w:pPr>
            <w:r w:rsidRPr="00C65B3D">
              <w:rPr>
                <w:i/>
                <w:iCs/>
                <w:color w:val="FF0000"/>
                <w:sz w:val="12"/>
                <w:szCs w:val="12"/>
              </w:rPr>
              <w:t>Více pravděpodobné než nepravděpodobné</w:t>
            </w:r>
            <w:r w:rsidRPr="00C65B3D">
              <w:rPr>
                <w:i/>
                <w:iCs/>
                <w:color w:val="FF0000"/>
                <w:sz w:val="12"/>
                <w:szCs w:val="12"/>
                <w:vertAlign w:val="superscript"/>
              </w:rPr>
              <w:t>k</w:t>
            </w:r>
          </w:p>
        </w:tc>
        <w:tc>
          <w:tcPr>
            <w:tcW w:w="2856" w:type="dxa"/>
            <w:tcBorders>
              <w:top w:val="nil"/>
            </w:tcBorders>
          </w:tcPr>
          <w:p w:rsidR="00415379" w:rsidRPr="00E12742" w:rsidRDefault="00415379" w:rsidP="005C7041">
            <w:pPr>
              <w:rPr>
                <w:sz w:val="12"/>
                <w:szCs w:val="12"/>
              </w:rPr>
            </w:pPr>
          </w:p>
        </w:tc>
        <w:tc>
          <w:tcPr>
            <w:tcW w:w="3071" w:type="dxa"/>
            <w:tcBorders>
              <w:top w:val="nil"/>
            </w:tcBorders>
          </w:tcPr>
          <w:p w:rsidR="00C65B3D" w:rsidRPr="00C65B3D" w:rsidRDefault="00C65B3D" w:rsidP="00C65B3D">
            <w:pPr>
              <w:shd w:val="clear" w:color="auto" w:fill="FFFFFF"/>
              <w:spacing w:line="158" w:lineRule="exact"/>
              <w:rPr>
                <w:color w:val="0F0089"/>
                <w:spacing w:val="-1"/>
                <w:sz w:val="12"/>
                <w:szCs w:val="12"/>
              </w:rPr>
            </w:pPr>
            <w:r w:rsidRPr="00C65B3D">
              <w:rPr>
                <w:i/>
                <w:iCs/>
                <w:color w:val="0F0089"/>
                <w:spacing w:val="-1"/>
                <w:sz w:val="12"/>
                <w:szCs w:val="12"/>
              </w:rPr>
              <w:t>Velmi pravděpodobné</w:t>
            </w:r>
            <w:r>
              <w:rPr>
                <w:i/>
                <w:iCs/>
                <w:color w:val="0F0089"/>
                <w:spacing w:val="-1"/>
                <w:sz w:val="12"/>
                <w:szCs w:val="12"/>
                <w:vertAlign w:val="superscript"/>
              </w:rPr>
              <w:t>m</w:t>
            </w:r>
            <w:r w:rsidRPr="00C65B3D">
              <w:rPr>
                <w:color w:val="0F0089"/>
                <w:spacing w:val="-1"/>
                <w:sz w:val="12"/>
                <w:szCs w:val="12"/>
              </w:rPr>
              <w:t xml:space="preserve"> </w:t>
            </w:r>
          </w:p>
          <w:p w:rsidR="00415379" w:rsidRPr="00C65B3D" w:rsidRDefault="00C65B3D" w:rsidP="00C65B3D">
            <w:pPr>
              <w:rPr>
                <w:color w:val="FF0000"/>
                <w:sz w:val="12"/>
                <w:szCs w:val="12"/>
              </w:rPr>
            </w:pPr>
            <w:r w:rsidRPr="00C65B3D">
              <w:rPr>
                <w:i/>
                <w:iCs/>
                <w:color w:val="FF0000"/>
                <w:spacing w:val="1"/>
                <w:sz w:val="12"/>
                <w:szCs w:val="12"/>
              </w:rPr>
              <w:t>Pravděpodobné</w:t>
            </w:r>
          </w:p>
        </w:tc>
      </w:tr>
    </w:tbl>
    <w:p w:rsidR="00257328" w:rsidRDefault="00257328" w:rsidP="00621467">
      <w:pPr>
        <w:shd w:val="clear" w:color="auto" w:fill="FFFFFF"/>
        <w:ind w:left="45" w:right="45"/>
        <w:jc w:val="both"/>
        <w:rPr>
          <w:i/>
          <w:iCs/>
          <w:color w:val="000000"/>
          <w:spacing w:val="1"/>
          <w:sz w:val="12"/>
          <w:szCs w:val="12"/>
        </w:rPr>
      </w:pPr>
    </w:p>
    <w:p w:rsidR="00621467" w:rsidRDefault="00621467" w:rsidP="00621467">
      <w:pPr>
        <w:shd w:val="clear" w:color="auto" w:fill="FFFFFF"/>
        <w:ind w:left="45" w:right="45"/>
        <w:jc w:val="both"/>
        <w:rPr>
          <w:color w:val="000000"/>
          <w:spacing w:val="1"/>
          <w:sz w:val="12"/>
          <w:szCs w:val="12"/>
        </w:rPr>
      </w:pPr>
      <w:r w:rsidRPr="00621467">
        <w:rPr>
          <w:i/>
          <w:iCs/>
          <w:color w:val="000000"/>
          <w:spacing w:val="1"/>
          <w:sz w:val="12"/>
          <w:szCs w:val="12"/>
        </w:rPr>
        <w:t xml:space="preserve">* </w:t>
      </w:r>
      <w:r w:rsidRPr="00621467">
        <w:rPr>
          <w:color w:val="000000"/>
          <w:spacing w:val="1"/>
          <w:sz w:val="12"/>
          <w:szCs w:val="12"/>
        </w:rPr>
        <w:t>Přímé porovnání výsledků z jednotlivých hodnotících zpráv je obtížné. U některých klimatických proměnných byly hodnoceny různé aspekty a u zprávy SREX a AR5 byly použity revidované vysvětlivky k nejistotám. K revidovanému posouzení zjištění přispívají nové informace, lepší vědecké poznání, pokračující analýzy dat a modelů a specifické rozdíly metodik použitých u hodnocených studií.</w:t>
      </w:r>
    </w:p>
    <w:p w:rsidR="00621467" w:rsidRPr="00621467" w:rsidRDefault="00621467" w:rsidP="00621467">
      <w:pPr>
        <w:shd w:val="clear" w:color="auto" w:fill="FFFFFF"/>
        <w:ind w:left="45" w:right="45"/>
        <w:jc w:val="both"/>
        <w:rPr>
          <w:sz w:val="12"/>
          <w:szCs w:val="12"/>
        </w:rPr>
      </w:pPr>
      <w:r w:rsidRPr="00621467">
        <w:rPr>
          <w:b/>
          <w:bCs/>
          <w:color w:val="000000"/>
          <w:spacing w:val="-5"/>
          <w:sz w:val="12"/>
          <w:szCs w:val="12"/>
        </w:rPr>
        <w:t>Poznámky:</w:t>
      </w:r>
    </w:p>
    <w:p w:rsidR="00621467" w:rsidRPr="00621467" w:rsidRDefault="00B744FE" w:rsidP="00CC15CE">
      <w:pPr>
        <w:shd w:val="clear" w:color="auto" w:fill="FFFFFF"/>
        <w:tabs>
          <w:tab w:val="left" w:pos="142"/>
        </w:tabs>
        <w:ind w:left="142" w:hanging="142"/>
        <w:jc w:val="both"/>
        <w:rPr>
          <w:color w:val="000000"/>
          <w:spacing w:val="-9"/>
          <w:sz w:val="12"/>
          <w:szCs w:val="12"/>
        </w:rPr>
      </w:pPr>
      <w:r>
        <w:rPr>
          <w:color w:val="000000"/>
          <w:sz w:val="12"/>
          <w:szCs w:val="12"/>
          <w:vertAlign w:val="superscript"/>
        </w:rPr>
        <w:t>a</w:t>
      </w:r>
      <w:r>
        <w:rPr>
          <w:color w:val="000000"/>
          <w:sz w:val="12"/>
          <w:szCs w:val="12"/>
        </w:rPr>
        <w:t xml:space="preserve"> </w:t>
      </w:r>
      <w:r w:rsidR="00621467" w:rsidRPr="00B744FE">
        <w:rPr>
          <w:color w:val="000000"/>
          <w:sz w:val="12"/>
          <w:szCs w:val="12"/>
        </w:rPr>
        <w:t>Posouzení</w:t>
      </w:r>
      <w:r w:rsidR="00621467" w:rsidRPr="00621467">
        <w:rPr>
          <w:color w:val="000000"/>
          <w:sz w:val="12"/>
          <w:szCs w:val="12"/>
        </w:rPr>
        <w:t xml:space="preserve"> vychází z</w:t>
      </w:r>
      <w:r>
        <w:rPr>
          <w:color w:val="000000"/>
          <w:sz w:val="12"/>
          <w:szCs w:val="12"/>
        </w:rPr>
        <w:t> </w:t>
      </w:r>
      <w:r w:rsidR="00621467" w:rsidRPr="00621467">
        <w:rPr>
          <w:color w:val="000000"/>
          <w:sz w:val="12"/>
          <w:szCs w:val="12"/>
        </w:rPr>
        <w:t xml:space="preserve">dostupných případových studií. Je </w:t>
      </w:r>
      <w:r w:rsidR="00621467" w:rsidRPr="00621467">
        <w:rPr>
          <w:i/>
          <w:color w:val="000000"/>
          <w:sz w:val="12"/>
          <w:szCs w:val="12"/>
        </w:rPr>
        <w:t>pravděpodobné</w:t>
      </w:r>
      <w:r w:rsidR="00621467" w:rsidRPr="00621467">
        <w:rPr>
          <w:color w:val="000000"/>
          <w:sz w:val="12"/>
          <w:szCs w:val="12"/>
        </w:rPr>
        <w:t>, že vliv člověka více než zdvojnásobil pravděpodobnost výskytu některých vln horka v</w:t>
      </w:r>
      <w:r>
        <w:rPr>
          <w:color w:val="000000"/>
          <w:sz w:val="12"/>
          <w:szCs w:val="12"/>
        </w:rPr>
        <w:t> </w:t>
      </w:r>
      <w:r w:rsidR="00621467" w:rsidRPr="00621467">
        <w:rPr>
          <w:color w:val="000000"/>
          <w:sz w:val="12"/>
          <w:szCs w:val="12"/>
        </w:rPr>
        <w:t>některých místech.</w:t>
      </w:r>
    </w:p>
    <w:p w:rsidR="00621467" w:rsidRPr="00621467" w:rsidRDefault="00B744FE" w:rsidP="00CC15CE">
      <w:pPr>
        <w:shd w:val="clear" w:color="auto" w:fill="FFFFFF"/>
        <w:tabs>
          <w:tab w:val="left" w:pos="142"/>
        </w:tabs>
        <w:ind w:left="142" w:hanging="142"/>
        <w:jc w:val="both"/>
        <w:rPr>
          <w:color w:val="000000"/>
          <w:spacing w:val="-9"/>
          <w:sz w:val="12"/>
          <w:szCs w:val="12"/>
        </w:rPr>
      </w:pPr>
      <w:r>
        <w:rPr>
          <w:color w:val="000000"/>
          <w:sz w:val="12"/>
          <w:szCs w:val="12"/>
          <w:vertAlign w:val="superscript"/>
        </w:rPr>
        <w:t>b</w:t>
      </w:r>
      <w:r>
        <w:rPr>
          <w:color w:val="000000"/>
          <w:sz w:val="12"/>
          <w:szCs w:val="12"/>
        </w:rPr>
        <w:t xml:space="preserve"> </w:t>
      </w:r>
      <w:r w:rsidR="00621467" w:rsidRPr="00621467">
        <w:rPr>
          <w:color w:val="000000"/>
          <w:sz w:val="12"/>
          <w:szCs w:val="12"/>
        </w:rPr>
        <w:t>Modely projektují delší dobu trvání, větší intenzitu a prostorový rozsah vln horka a teplých období v</w:t>
      </w:r>
      <w:r>
        <w:rPr>
          <w:color w:val="000000"/>
          <w:sz w:val="12"/>
          <w:szCs w:val="12"/>
        </w:rPr>
        <w:t> </w:t>
      </w:r>
      <w:r w:rsidR="00621467" w:rsidRPr="00621467">
        <w:rPr>
          <w:color w:val="000000"/>
          <w:sz w:val="12"/>
          <w:szCs w:val="12"/>
        </w:rPr>
        <w:t>blízké budoucnosti.</w:t>
      </w:r>
    </w:p>
    <w:p w:rsidR="00621467" w:rsidRPr="00621467" w:rsidRDefault="00B744FE" w:rsidP="00CC15CE">
      <w:pPr>
        <w:shd w:val="clear" w:color="auto" w:fill="FFFFFF"/>
        <w:tabs>
          <w:tab w:val="left" w:pos="142"/>
        </w:tabs>
        <w:ind w:left="142" w:hanging="142"/>
        <w:jc w:val="both"/>
        <w:rPr>
          <w:color w:val="000000"/>
          <w:spacing w:val="-9"/>
          <w:sz w:val="12"/>
          <w:szCs w:val="12"/>
        </w:rPr>
      </w:pPr>
      <w:r>
        <w:rPr>
          <w:color w:val="000000"/>
          <w:spacing w:val="2"/>
          <w:sz w:val="12"/>
          <w:szCs w:val="12"/>
          <w:vertAlign w:val="superscript"/>
        </w:rPr>
        <w:t>c</w:t>
      </w:r>
      <w:r>
        <w:rPr>
          <w:color w:val="000000"/>
          <w:spacing w:val="2"/>
          <w:sz w:val="12"/>
          <w:szCs w:val="12"/>
        </w:rPr>
        <w:t xml:space="preserve"> </w:t>
      </w:r>
      <w:r w:rsidR="00621467" w:rsidRPr="00621467">
        <w:rPr>
          <w:color w:val="000000"/>
          <w:spacing w:val="2"/>
          <w:sz w:val="12"/>
          <w:szCs w:val="12"/>
        </w:rPr>
        <w:t xml:space="preserve">U většiny kontinentů není pravděpodobnost trendů vyšší než </w:t>
      </w:r>
      <w:r w:rsidR="00621467" w:rsidRPr="00621467">
        <w:rPr>
          <w:i/>
          <w:color w:val="000000"/>
          <w:spacing w:val="2"/>
          <w:sz w:val="12"/>
          <w:szCs w:val="12"/>
        </w:rPr>
        <w:t>střední</w:t>
      </w:r>
      <w:r w:rsidR="00621467" w:rsidRPr="00621467">
        <w:rPr>
          <w:color w:val="000000"/>
          <w:spacing w:val="2"/>
          <w:sz w:val="12"/>
          <w:szCs w:val="12"/>
        </w:rPr>
        <w:t xml:space="preserve"> s výjimkou Severní Ameriky a Evropy, kde došlo </w:t>
      </w:r>
      <w:r w:rsidR="00621467" w:rsidRPr="00621467">
        <w:rPr>
          <w:i/>
          <w:color w:val="000000"/>
          <w:spacing w:val="2"/>
          <w:sz w:val="12"/>
          <w:szCs w:val="12"/>
        </w:rPr>
        <w:t>pravděpodobně</w:t>
      </w:r>
      <w:r w:rsidR="00621467" w:rsidRPr="00621467">
        <w:rPr>
          <w:color w:val="000000"/>
          <w:spacing w:val="2"/>
          <w:sz w:val="12"/>
          <w:szCs w:val="12"/>
        </w:rPr>
        <w:t xml:space="preserve"> ke zvýšení četnosti nebo intenzity silných srážek s některými sezónními a/nebo regionálními odchylkami. Je </w:t>
      </w:r>
      <w:r w:rsidR="00621467" w:rsidRPr="00621467">
        <w:rPr>
          <w:i/>
          <w:color w:val="000000"/>
          <w:spacing w:val="2"/>
          <w:sz w:val="12"/>
          <w:szCs w:val="12"/>
        </w:rPr>
        <w:t>velmi pravděpodobné</w:t>
      </w:r>
      <w:r w:rsidR="00621467" w:rsidRPr="00621467">
        <w:rPr>
          <w:color w:val="000000"/>
          <w:spacing w:val="2"/>
          <w:sz w:val="12"/>
          <w:szCs w:val="12"/>
        </w:rPr>
        <w:t>, že ke zvýšení došlo v centrální Severní Americe.</w:t>
      </w:r>
    </w:p>
    <w:p w:rsidR="00621467" w:rsidRPr="00621467" w:rsidRDefault="00B744FE" w:rsidP="00CC15CE">
      <w:pPr>
        <w:shd w:val="clear" w:color="auto" w:fill="FFFFFF"/>
        <w:tabs>
          <w:tab w:val="left" w:pos="142"/>
        </w:tabs>
        <w:ind w:left="142" w:hanging="142"/>
        <w:jc w:val="both"/>
        <w:rPr>
          <w:color w:val="000000"/>
          <w:spacing w:val="-9"/>
          <w:sz w:val="12"/>
          <w:szCs w:val="12"/>
        </w:rPr>
      </w:pPr>
      <w:r>
        <w:rPr>
          <w:color w:val="000000"/>
          <w:sz w:val="12"/>
          <w:szCs w:val="12"/>
          <w:vertAlign w:val="superscript"/>
        </w:rPr>
        <w:t>d</w:t>
      </w:r>
      <w:r>
        <w:rPr>
          <w:color w:val="000000"/>
          <w:sz w:val="12"/>
          <w:szCs w:val="12"/>
        </w:rPr>
        <w:t xml:space="preserve"> </w:t>
      </w:r>
      <w:r w:rsidR="00621467" w:rsidRPr="00621467">
        <w:rPr>
          <w:color w:val="000000"/>
          <w:sz w:val="12"/>
          <w:szCs w:val="12"/>
        </w:rPr>
        <w:t xml:space="preserve">Frekvence a intenzita sucha se </w:t>
      </w:r>
      <w:r w:rsidR="00621467" w:rsidRPr="00621467">
        <w:rPr>
          <w:i/>
          <w:color w:val="000000"/>
          <w:sz w:val="12"/>
          <w:szCs w:val="12"/>
        </w:rPr>
        <w:t>pravděpodobně</w:t>
      </w:r>
      <w:r w:rsidR="00621467" w:rsidRPr="00621467">
        <w:rPr>
          <w:color w:val="000000"/>
          <w:sz w:val="12"/>
          <w:szCs w:val="12"/>
        </w:rPr>
        <w:t xml:space="preserve"> zvýšila ve Středomoří a v západní Africe a </w:t>
      </w:r>
      <w:r w:rsidR="00621467" w:rsidRPr="00621467">
        <w:rPr>
          <w:i/>
          <w:color w:val="000000"/>
          <w:sz w:val="12"/>
          <w:szCs w:val="12"/>
        </w:rPr>
        <w:t>pravděpodobně</w:t>
      </w:r>
      <w:r w:rsidR="00621467" w:rsidRPr="00621467">
        <w:rPr>
          <w:color w:val="000000"/>
          <w:sz w:val="12"/>
          <w:szCs w:val="12"/>
        </w:rPr>
        <w:t xml:space="preserve"> snížila v centrální Severní Americe a severozápadní Austrálii.</w:t>
      </w:r>
    </w:p>
    <w:p w:rsidR="00621467" w:rsidRPr="00621467" w:rsidRDefault="00B744FE" w:rsidP="00CC15CE">
      <w:pPr>
        <w:shd w:val="clear" w:color="auto" w:fill="FFFFFF"/>
        <w:tabs>
          <w:tab w:val="left" w:pos="142"/>
        </w:tabs>
        <w:ind w:left="142" w:hanging="142"/>
        <w:jc w:val="both"/>
        <w:rPr>
          <w:color w:val="000000"/>
          <w:spacing w:val="-9"/>
          <w:sz w:val="12"/>
          <w:szCs w:val="12"/>
        </w:rPr>
      </w:pPr>
      <w:r>
        <w:rPr>
          <w:color w:val="000000"/>
          <w:sz w:val="12"/>
          <w:szCs w:val="12"/>
          <w:vertAlign w:val="superscript"/>
        </w:rPr>
        <w:t>e</w:t>
      </w:r>
      <w:r>
        <w:rPr>
          <w:color w:val="000000"/>
          <w:sz w:val="12"/>
          <w:szCs w:val="12"/>
        </w:rPr>
        <w:t xml:space="preserve"> </w:t>
      </w:r>
      <w:r w:rsidR="00621467" w:rsidRPr="00621467">
        <w:rPr>
          <w:color w:val="000000"/>
          <w:sz w:val="12"/>
          <w:szCs w:val="12"/>
        </w:rPr>
        <w:t>Zpráva AR4 hodnotila oblast zasaženou suchem.</w:t>
      </w:r>
    </w:p>
    <w:p w:rsidR="00621467" w:rsidRPr="00621467" w:rsidRDefault="00B744FE" w:rsidP="00CC15CE">
      <w:pPr>
        <w:shd w:val="clear" w:color="auto" w:fill="FFFFFF"/>
        <w:tabs>
          <w:tab w:val="left" w:pos="142"/>
        </w:tabs>
        <w:ind w:left="142" w:hanging="142"/>
        <w:jc w:val="both"/>
        <w:rPr>
          <w:color w:val="000000"/>
          <w:spacing w:val="-10"/>
          <w:sz w:val="12"/>
          <w:szCs w:val="12"/>
        </w:rPr>
      </w:pPr>
      <w:r>
        <w:rPr>
          <w:color w:val="000000"/>
          <w:sz w:val="12"/>
          <w:szCs w:val="12"/>
          <w:vertAlign w:val="superscript"/>
        </w:rPr>
        <w:t>f</w:t>
      </w:r>
      <w:r>
        <w:rPr>
          <w:color w:val="000000"/>
          <w:sz w:val="12"/>
          <w:szCs w:val="12"/>
        </w:rPr>
        <w:t xml:space="preserve"> </w:t>
      </w:r>
      <w:r w:rsidR="00621467" w:rsidRPr="00621467">
        <w:rPr>
          <w:color w:val="000000"/>
          <w:sz w:val="12"/>
          <w:szCs w:val="12"/>
        </w:rPr>
        <w:t xml:space="preserve">Zpráva </w:t>
      </w:r>
      <w:r w:rsidR="00621467" w:rsidRPr="00621467">
        <w:rPr>
          <w:color w:val="000000"/>
          <w:spacing w:val="1"/>
          <w:sz w:val="12"/>
          <w:szCs w:val="12"/>
        </w:rPr>
        <w:t xml:space="preserve">SREX vyhodnotila se </w:t>
      </w:r>
      <w:r w:rsidR="00621467" w:rsidRPr="00621467">
        <w:rPr>
          <w:i/>
          <w:color w:val="000000"/>
          <w:spacing w:val="1"/>
          <w:sz w:val="12"/>
          <w:szCs w:val="12"/>
        </w:rPr>
        <w:t>střední spolehlivostí</w:t>
      </w:r>
      <w:r w:rsidR="00621467" w:rsidRPr="00621467">
        <w:rPr>
          <w:color w:val="000000"/>
          <w:spacing w:val="1"/>
          <w:sz w:val="12"/>
          <w:szCs w:val="12"/>
        </w:rPr>
        <w:t>, že antropogenní vliv přispěl k některým změnám rozložení období sucha pozorovaným v druhé polovině 20. století na základě hodnocení dopadu na změny srážkové činnost a teploty. Zpráva SREX vyhodnotila s </w:t>
      </w:r>
      <w:r w:rsidR="00621467" w:rsidRPr="00621467">
        <w:rPr>
          <w:i/>
          <w:color w:val="000000"/>
          <w:spacing w:val="1"/>
          <w:sz w:val="12"/>
          <w:szCs w:val="12"/>
        </w:rPr>
        <w:t xml:space="preserve">malou spolehlivostí </w:t>
      </w:r>
      <w:r w:rsidR="00621467" w:rsidRPr="00621467">
        <w:rPr>
          <w:color w:val="000000"/>
          <w:spacing w:val="1"/>
          <w:sz w:val="12"/>
          <w:szCs w:val="12"/>
        </w:rPr>
        <w:t>hodnocení změn na období sucha na úrovni jednotlivých regionů</w:t>
      </w:r>
      <w:r w:rsidR="00621467" w:rsidRPr="00621467">
        <w:rPr>
          <w:color w:val="000000"/>
          <w:spacing w:val="-1"/>
          <w:sz w:val="12"/>
          <w:szCs w:val="12"/>
        </w:rPr>
        <w:t>.</w:t>
      </w:r>
    </w:p>
    <w:p w:rsidR="00621467" w:rsidRPr="00621467" w:rsidRDefault="00B744FE" w:rsidP="00CC15CE">
      <w:pPr>
        <w:shd w:val="clear" w:color="auto" w:fill="FFFFFF"/>
        <w:tabs>
          <w:tab w:val="left" w:pos="142"/>
        </w:tabs>
        <w:ind w:left="142" w:hanging="142"/>
        <w:jc w:val="both"/>
        <w:rPr>
          <w:color w:val="000000"/>
          <w:spacing w:val="-9"/>
          <w:sz w:val="12"/>
          <w:szCs w:val="12"/>
        </w:rPr>
      </w:pPr>
      <w:r>
        <w:rPr>
          <w:color w:val="000000"/>
          <w:sz w:val="12"/>
          <w:szCs w:val="12"/>
          <w:vertAlign w:val="superscript"/>
        </w:rPr>
        <w:t>g</w:t>
      </w:r>
      <w:r>
        <w:rPr>
          <w:color w:val="000000"/>
          <w:sz w:val="12"/>
          <w:szCs w:val="12"/>
        </w:rPr>
        <w:t xml:space="preserve"> </w:t>
      </w:r>
      <w:r w:rsidR="00621467" w:rsidRPr="00621467">
        <w:rPr>
          <w:color w:val="000000"/>
          <w:sz w:val="12"/>
          <w:szCs w:val="12"/>
        </w:rPr>
        <w:t xml:space="preserve">Existuje </w:t>
      </w:r>
      <w:r w:rsidR="00621467" w:rsidRPr="00621467">
        <w:rPr>
          <w:i/>
          <w:color w:val="000000"/>
          <w:sz w:val="12"/>
          <w:szCs w:val="12"/>
        </w:rPr>
        <w:t>malá spolehlivost</w:t>
      </w:r>
      <w:r w:rsidR="00621467" w:rsidRPr="00621467">
        <w:rPr>
          <w:color w:val="000000"/>
          <w:sz w:val="12"/>
          <w:szCs w:val="12"/>
        </w:rPr>
        <w:t xml:space="preserve"> projektovaných změn obsahu vlhkosti v půdě.</w:t>
      </w:r>
    </w:p>
    <w:p w:rsidR="00621467" w:rsidRPr="00621467" w:rsidRDefault="00B744FE" w:rsidP="00CC15CE">
      <w:pPr>
        <w:shd w:val="clear" w:color="auto" w:fill="FFFFFF"/>
        <w:tabs>
          <w:tab w:val="left" w:pos="142"/>
        </w:tabs>
        <w:ind w:left="142" w:hanging="142"/>
        <w:jc w:val="both"/>
        <w:rPr>
          <w:sz w:val="12"/>
          <w:szCs w:val="12"/>
        </w:rPr>
      </w:pPr>
      <w:r>
        <w:rPr>
          <w:color w:val="000000"/>
          <w:spacing w:val="1"/>
          <w:sz w:val="12"/>
          <w:szCs w:val="12"/>
          <w:vertAlign w:val="superscript"/>
        </w:rPr>
        <w:t>h</w:t>
      </w:r>
      <w:r>
        <w:rPr>
          <w:color w:val="000000"/>
          <w:spacing w:val="1"/>
          <w:sz w:val="12"/>
          <w:szCs w:val="12"/>
        </w:rPr>
        <w:t xml:space="preserve"> </w:t>
      </w:r>
      <w:r w:rsidR="00621467" w:rsidRPr="00621467">
        <w:rPr>
          <w:color w:val="000000"/>
          <w:spacing w:val="1"/>
          <w:sz w:val="12"/>
          <w:szCs w:val="12"/>
        </w:rPr>
        <w:t xml:space="preserve">Podle scénáře </w:t>
      </w:r>
      <w:r w:rsidR="00621467" w:rsidRPr="00621467">
        <w:rPr>
          <w:color w:val="000000"/>
          <w:spacing w:val="-1"/>
          <w:sz w:val="12"/>
          <w:szCs w:val="12"/>
        </w:rPr>
        <w:t>RCP8.5 je do konce tohoto století projektováno</w:t>
      </w:r>
      <w:r w:rsidR="00621467" w:rsidRPr="00621467">
        <w:rPr>
          <w:color w:val="000000"/>
          <w:spacing w:val="1"/>
          <w:sz w:val="12"/>
          <w:szCs w:val="12"/>
        </w:rPr>
        <w:t xml:space="preserve"> snížení </w:t>
      </w:r>
      <w:r w:rsidR="00621467" w:rsidRPr="00621467">
        <w:rPr>
          <w:color w:val="000000"/>
          <w:sz w:val="12"/>
          <w:szCs w:val="12"/>
        </w:rPr>
        <w:t xml:space="preserve">obsahu vlhkosti v půdě v regionálním až globálním měřítku a zvýšený výskyt zemědělského sucha </w:t>
      </w:r>
      <w:r w:rsidR="00621467" w:rsidRPr="00621467">
        <w:rPr>
          <w:i/>
          <w:color w:val="000000"/>
          <w:sz w:val="12"/>
          <w:szCs w:val="12"/>
        </w:rPr>
        <w:t>pravděpodobné (střední spolehlivost)</w:t>
      </w:r>
      <w:r w:rsidR="00621467" w:rsidRPr="00621467">
        <w:rPr>
          <w:color w:val="000000"/>
          <w:sz w:val="12"/>
          <w:szCs w:val="12"/>
        </w:rPr>
        <w:t xml:space="preserve"> v oblastech, které jsou v současnosti suché.</w:t>
      </w:r>
      <w:r w:rsidR="00621467" w:rsidRPr="00621467">
        <w:rPr>
          <w:color w:val="000000"/>
          <w:spacing w:val="-1"/>
          <w:sz w:val="12"/>
          <w:szCs w:val="12"/>
        </w:rPr>
        <w:t xml:space="preserve"> Snížení půdní vlhkosti ve Středomoří, jihozápadních oblastech USA a v oblastech jižní Afriky odpovídá projektovaným změnám Hadleyho cirkulace a vyšším teplotám vzduchu při povrchu, proto se </w:t>
      </w:r>
      <w:r w:rsidR="00621467" w:rsidRPr="00621467">
        <w:rPr>
          <w:color w:val="000000"/>
          <w:spacing w:val="1"/>
          <w:sz w:val="12"/>
          <w:szCs w:val="12"/>
        </w:rPr>
        <w:t xml:space="preserve">podle scénáře </w:t>
      </w:r>
      <w:r w:rsidR="00621467" w:rsidRPr="00621467">
        <w:rPr>
          <w:color w:val="000000"/>
          <w:spacing w:val="-1"/>
          <w:sz w:val="12"/>
          <w:szCs w:val="12"/>
        </w:rPr>
        <w:t>RCP8.5 do konce tohoto století s </w:t>
      </w:r>
      <w:r w:rsidR="00621467" w:rsidRPr="00621467">
        <w:rPr>
          <w:i/>
          <w:color w:val="000000"/>
          <w:spacing w:val="-1"/>
          <w:sz w:val="12"/>
          <w:szCs w:val="12"/>
        </w:rPr>
        <w:t>vysokou</w:t>
      </w:r>
      <w:r w:rsidR="00621467" w:rsidRPr="00621467">
        <w:rPr>
          <w:color w:val="000000"/>
          <w:spacing w:val="-1"/>
          <w:sz w:val="12"/>
          <w:szCs w:val="12"/>
        </w:rPr>
        <w:t xml:space="preserve"> </w:t>
      </w:r>
      <w:r w:rsidR="00621467" w:rsidRPr="00621467">
        <w:rPr>
          <w:i/>
          <w:color w:val="000000"/>
          <w:spacing w:val="-1"/>
          <w:sz w:val="12"/>
          <w:szCs w:val="12"/>
        </w:rPr>
        <w:t xml:space="preserve">spolehlivostí </w:t>
      </w:r>
      <w:r w:rsidR="00621467" w:rsidRPr="00621467">
        <w:rPr>
          <w:color w:val="000000"/>
          <w:spacing w:val="-1"/>
          <w:sz w:val="12"/>
          <w:szCs w:val="12"/>
        </w:rPr>
        <w:t xml:space="preserve">očekává </w:t>
      </w:r>
      <w:r w:rsidR="00621467" w:rsidRPr="00621467">
        <w:rPr>
          <w:i/>
          <w:color w:val="000000"/>
          <w:spacing w:val="-1"/>
          <w:sz w:val="12"/>
          <w:szCs w:val="12"/>
        </w:rPr>
        <w:t>pravděpodobné</w:t>
      </w:r>
      <w:r w:rsidR="00621467" w:rsidRPr="00621467">
        <w:rPr>
          <w:color w:val="000000"/>
          <w:spacing w:val="-1"/>
          <w:sz w:val="12"/>
          <w:szCs w:val="12"/>
        </w:rPr>
        <w:t xml:space="preserve"> vysychání povrchu v těchto oblastech.</w:t>
      </w:r>
    </w:p>
    <w:p w:rsidR="00621467" w:rsidRPr="00621467" w:rsidRDefault="00B744FE" w:rsidP="00CC15CE">
      <w:pPr>
        <w:shd w:val="clear" w:color="auto" w:fill="FFFFFF"/>
        <w:tabs>
          <w:tab w:val="left" w:pos="142"/>
        </w:tabs>
        <w:ind w:left="142" w:hanging="142"/>
        <w:jc w:val="both"/>
        <w:rPr>
          <w:sz w:val="12"/>
          <w:szCs w:val="12"/>
        </w:rPr>
      </w:pPr>
      <w:r>
        <w:rPr>
          <w:color w:val="000000"/>
          <w:sz w:val="12"/>
          <w:szCs w:val="12"/>
          <w:vertAlign w:val="superscript"/>
        </w:rPr>
        <w:t>i</w:t>
      </w:r>
      <w:r>
        <w:rPr>
          <w:color w:val="000000"/>
          <w:sz w:val="12"/>
          <w:szCs w:val="12"/>
        </w:rPr>
        <w:t xml:space="preserve"> </w:t>
      </w:r>
      <w:r w:rsidR="00621467" w:rsidRPr="00621467">
        <w:rPr>
          <w:color w:val="000000"/>
          <w:sz w:val="12"/>
          <w:szCs w:val="12"/>
        </w:rPr>
        <w:t xml:space="preserve">Existuje </w:t>
      </w:r>
      <w:r w:rsidR="00621467" w:rsidRPr="00621467">
        <w:rPr>
          <w:i/>
          <w:color w:val="000000"/>
          <w:sz w:val="12"/>
          <w:szCs w:val="12"/>
        </w:rPr>
        <w:t>střední spolehlivost,</w:t>
      </w:r>
      <w:r w:rsidR="00621467" w:rsidRPr="00621467">
        <w:rPr>
          <w:color w:val="000000"/>
          <w:sz w:val="12"/>
          <w:szCs w:val="12"/>
        </w:rPr>
        <w:t xml:space="preserve"> že nižší vliv aerosolů nad severním Atlantikem přispěl alespoň částečně v této oblasti k pozorovanému nárůstu aktivity tropických cyklonů od sedmdesátých let 20. století.</w:t>
      </w:r>
    </w:p>
    <w:p w:rsidR="00621467" w:rsidRPr="00621467" w:rsidRDefault="00B744FE" w:rsidP="00CC15CE">
      <w:pPr>
        <w:shd w:val="clear" w:color="auto" w:fill="FFFFFF"/>
        <w:tabs>
          <w:tab w:val="left" w:pos="142"/>
        </w:tabs>
        <w:ind w:left="142" w:hanging="142"/>
        <w:jc w:val="both"/>
        <w:rPr>
          <w:sz w:val="12"/>
          <w:szCs w:val="12"/>
        </w:rPr>
      </w:pPr>
      <w:r>
        <w:rPr>
          <w:color w:val="000000"/>
          <w:sz w:val="12"/>
          <w:szCs w:val="12"/>
          <w:vertAlign w:val="superscript"/>
        </w:rPr>
        <w:t>j</w:t>
      </w:r>
      <w:r>
        <w:rPr>
          <w:color w:val="000000"/>
          <w:sz w:val="12"/>
          <w:szCs w:val="12"/>
        </w:rPr>
        <w:t xml:space="preserve"> </w:t>
      </w:r>
      <w:r w:rsidR="00621467" w:rsidRPr="00621467">
        <w:rPr>
          <w:color w:val="000000"/>
          <w:sz w:val="12"/>
          <w:szCs w:val="12"/>
        </w:rPr>
        <w:t>Na základě odborného posouzení a vyhodnocení projekcí, které používají scénář SRES A1B (nebo podobný scénář).</w:t>
      </w:r>
    </w:p>
    <w:p w:rsidR="00621467" w:rsidRPr="00621467" w:rsidRDefault="00B744FE" w:rsidP="00CC15CE">
      <w:pPr>
        <w:shd w:val="clear" w:color="auto" w:fill="FFFFFF"/>
        <w:tabs>
          <w:tab w:val="left" w:pos="142"/>
        </w:tabs>
        <w:ind w:left="142" w:hanging="142"/>
        <w:jc w:val="both"/>
        <w:rPr>
          <w:sz w:val="12"/>
          <w:szCs w:val="12"/>
        </w:rPr>
      </w:pPr>
      <w:r>
        <w:rPr>
          <w:color w:val="000000"/>
          <w:sz w:val="12"/>
          <w:szCs w:val="12"/>
          <w:vertAlign w:val="superscript"/>
        </w:rPr>
        <w:t>k</w:t>
      </w:r>
      <w:r>
        <w:rPr>
          <w:color w:val="000000"/>
          <w:sz w:val="12"/>
          <w:szCs w:val="12"/>
        </w:rPr>
        <w:t xml:space="preserve"> </w:t>
      </w:r>
      <w:r w:rsidR="00621467" w:rsidRPr="00621467">
        <w:rPr>
          <w:color w:val="000000"/>
          <w:sz w:val="12"/>
          <w:szCs w:val="12"/>
        </w:rPr>
        <w:t>Posouzení vychází z těsného vztahu mezi pozorovanými změnami extrémní a střední hladiny oceánu.</w:t>
      </w:r>
    </w:p>
    <w:p w:rsidR="00621467" w:rsidRPr="00621467" w:rsidRDefault="00B744FE" w:rsidP="00CC15CE">
      <w:pPr>
        <w:shd w:val="clear" w:color="auto" w:fill="FFFFFF"/>
        <w:tabs>
          <w:tab w:val="left" w:pos="142"/>
        </w:tabs>
        <w:ind w:left="142" w:hanging="142"/>
        <w:jc w:val="both"/>
        <w:rPr>
          <w:sz w:val="12"/>
          <w:szCs w:val="12"/>
        </w:rPr>
      </w:pPr>
      <w:r>
        <w:rPr>
          <w:color w:val="000000"/>
          <w:spacing w:val="3"/>
          <w:sz w:val="12"/>
          <w:szCs w:val="12"/>
          <w:vertAlign w:val="superscript"/>
        </w:rPr>
        <w:t>l</w:t>
      </w:r>
      <w:r>
        <w:rPr>
          <w:color w:val="000000"/>
          <w:spacing w:val="3"/>
          <w:sz w:val="12"/>
          <w:szCs w:val="12"/>
        </w:rPr>
        <w:t xml:space="preserve"> </w:t>
      </w:r>
      <w:r w:rsidR="00621467" w:rsidRPr="00621467">
        <w:rPr>
          <w:color w:val="000000"/>
          <w:spacing w:val="3"/>
          <w:sz w:val="12"/>
          <w:szCs w:val="12"/>
        </w:rPr>
        <w:t xml:space="preserve">Existuje </w:t>
      </w:r>
      <w:r w:rsidR="00621467" w:rsidRPr="00621467">
        <w:rPr>
          <w:i/>
          <w:color w:val="000000"/>
          <w:spacing w:val="3"/>
          <w:sz w:val="12"/>
          <w:szCs w:val="12"/>
        </w:rPr>
        <w:t>vysoká spolehlivost</w:t>
      </w:r>
      <w:r w:rsidR="00621467" w:rsidRPr="00621467">
        <w:rPr>
          <w:color w:val="000000"/>
          <w:spacing w:val="3"/>
          <w:sz w:val="12"/>
          <w:szCs w:val="12"/>
        </w:rPr>
        <w:t xml:space="preserve">, že toto zvýšení extrémní hladiny oceánu bude primárně výsledkem zvýšení střední hladiny oceánu. U projekcí bouřkové činnosti a s tím spojených bouřlivých přílivů v konkrétních oblastech existuje </w:t>
      </w:r>
      <w:r w:rsidR="00621467" w:rsidRPr="00621467">
        <w:rPr>
          <w:i/>
          <w:color w:val="000000"/>
          <w:spacing w:val="3"/>
          <w:sz w:val="12"/>
          <w:szCs w:val="12"/>
        </w:rPr>
        <w:t>malá spolehlivost.</w:t>
      </w:r>
    </w:p>
    <w:p w:rsidR="00621467" w:rsidRDefault="00B744FE" w:rsidP="00CC15CE">
      <w:pPr>
        <w:shd w:val="clear" w:color="auto" w:fill="FFFFFF"/>
        <w:tabs>
          <w:tab w:val="left" w:pos="142"/>
        </w:tabs>
        <w:ind w:left="142" w:hanging="142"/>
        <w:jc w:val="both"/>
        <w:rPr>
          <w:color w:val="000000"/>
          <w:sz w:val="12"/>
          <w:szCs w:val="12"/>
        </w:rPr>
      </w:pPr>
      <w:r>
        <w:rPr>
          <w:color w:val="000000"/>
          <w:sz w:val="12"/>
          <w:szCs w:val="12"/>
          <w:vertAlign w:val="superscript"/>
        </w:rPr>
        <w:t>m</w:t>
      </w:r>
      <w:r>
        <w:rPr>
          <w:color w:val="000000"/>
          <w:sz w:val="12"/>
          <w:szCs w:val="12"/>
        </w:rPr>
        <w:t xml:space="preserve"> </w:t>
      </w:r>
      <w:r w:rsidR="00621467" w:rsidRPr="00621467">
        <w:rPr>
          <w:color w:val="000000"/>
          <w:sz w:val="12"/>
          <w:szCs w:val="12"/>
        </w:rPr>
        <w:t xml:space="preserve">Podle zprávy SREX je </w:t>
      </w:r>
      <w:r w:rsidR="00621467" w:rsidRPr="00621467">
        <w:rPr>
          <w:i/>
          <w:iCs/>
          <w:color w:val="000000"/>
          <w:sz w:val="12"/>
          <w:szCs w:val="12"/>
        </w:rPr>
        <w:t>velmi pravděpodobné</w:t>
      </w:r>
      <w:r w:rsidR="00621467" w:rsidRPr="00621467">
        <w:rPr>
          <w:iCs/>
          <w:color w:val="000000"/>
          <w:sz w:val="12"/>
          <w:szCs w:val="12"/>
        </w:rPr>
        <w:t xml:space="preserve">, </w:t>
      </w:r>
      <w:r w:rsidR="00621467" w:rsidRPr="00621467">
        <w:rPr>
          <w:color w:val="000000"/>
          <w:sz w:val="12"/>
          <w:szCs w:val="12"/>
        </w:rPr>
        <w:t>že zvýšení průměrné hladiny oceánu přispěje k budoucím trendům zvyšování extrémních úrovní přílivu.</w:t>
      </w:r>
    </w:p>
    <w:p w:rsidR="00F96897" w:rsidRDefault="00F96897" w:rsidP="00CC15CE">
      <w:pPr>
        <w:shd w:val="clear" w:color="auto" w:fill="FFFFFF"/>
        <w:tabs>
          <w:tab w:val="left" w:pos="142"/>
        </w:tabs>
        <w:ind w:left="142" w:hanging="142"/>
        <w:jc w:val="both"/>
        <w:rPr>
          <w:color w:val="000000"/>
          <w:sz w:val="12"/>
          <w:szCs w:val="12"/>
        </w:rPr>
        <w:sectPr w:rsidR="00F96897" w:rsidSect="001641F4">
          <w:pgSz w:w="16838" w:h="11906" w:orient="landscape"/>
          <w:pgMar w:top="1083" w:right="1440" w:bottom="1083" w:left="1440" w:header="708" w:footer="708" w:gutter="0"/>
          <w:cols w:space="708"/>
          <w:docGrid w:linePitch="360"/>
        </w:sectPr>
      </w:pPr>
    </w:p>
    <w:p w:rsidR="00F96897" w:rsidRDefault="00F96897" w:rsidP="00CC15CE">
      <w:pPr>
        <w:shd w:val="clear" w:color="auto" w:fill="FFFFFF"/>
        <w:tabs>
          <w:tab w:val="left" w:pos="142"/>
        </w:tabs>
        <w:ind w:left="142" w:hanging="142"/>
        <w:jc w:val="both"/>
        <w:rPr>
          <w:color w:val="000000"/>
          <w:sz w:val="12"/>
          <w:szCs w:val="12"/>
        </w:rPr>
      </w:pPr>
      <w:r>
        <w:rPr>
          <w:noProof/>
          <w:color w:val="000000"/>
          <w:sz w:val="12"/>
          <w:szCs w:val="12"/>
        </w:rPr>
        <w:lastRenderedPageBreak/>
        <w:drawing>
          <wp:inline distT="0" distB="0" distL="0" distR="0">
            <wp:extent cx="6184900" cy="2609850"/>
            <wp:effectExtent l="19050" t="0" r="6350" b="0"/>
            <wp:docPr id="1" name="Obrázek 0" descr="SPM Fig2_final-C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M Fig2_final-CZ.jpg"/>
                    <pic:cNvPicPr/>
                  </pic:nvPicPr>
                  <pic:blipFill>
                    <a:blip r:embed="rId14" cstate="print"/>
                    <a:stretch>
                      <a:fillRect/>
                    </a:stretch>
                  </pic:blipFill>
                  <pic:spPr>
                    <a:xfrm>
                      <a:off x="0" y="0"/>
                      <a:ext cx="6184900" cy="2609850"/>
                    </a:xfrm>
                    <a:prstGeom prst="rect">
                      <a:avLst/>
                    </a:prstGeom>
                  </pic:spPr>
                </pic:pic>
              </a:graphicData>
            </a:graphic>
          </wp:inline>
        </w:drawing>
      </w:r>
    </w:p>
    <w:p w:rsidR="00257328" w:rsidRDefault="00257328" w:rsidP="00F96897">
      <w:pPr>
        <w:shd w:val="clear" w:color="auto" w:fill="FFFFFF"/>
        <w:tabs>
          <w:tab w:val="left" w:pos="0"/>
        </w:tabs>
        <w:jc w:val="both"/>
        <w:rPr>
          <w:b/>
          <w:bCs/>
          <w:color w:val="000000"/>
          <w:spacing w:val="-9"/>
          <w:sz w:val="16"/>
          <w:szCs w:val="16"/>
        </w:rPr>
      </w:pPr>
    </w:p>
    <w:p w:rsidR="00F96897" w:rsidRPr="00F96897" w:rsidRDefault="00743C8E" w:rsidP="00F96897">
      <w:pPr>
        <w:shd w:val="clear" w:color="auto" w:fill="FFFFFF"/>
        <w:tabs>
          <w:tab w:val="left" w:pos="0"/>
        </w:tabs>
        <w:jc w:val="both"/>
        <w:rPr>
          <w:color w:val="000000"/>
          <w:sz w:val="16"/>
          <w:szCs w:val="16"/>
        </w:rPr>
      </w:pPr>
      <w:r>
        <w:rPr>
          <w:b/>
          <w:bCs/>
          <w:color w:val="000000"/>
          <w:spacing w:val="-9"/>
          <w:sz w:val="16"/>
          <w:szCs w:val="16"/>
        </w:rPr>
        <w:t>Obr.</w:t>
      </w:r>
      <w:r w:rsidR="00F96897" w:rsidRPr="00F96897">
        <w:rPr>
          <w:b/>
          <w:bCs/>
          <w:color w:val="000000"/>
          <w:spacing w:val="-9"/>
          <w:sz w:val="16"/>
          <w:szCs w:val="16"/>
        </w:rPr>
        <w:t xml:space="preserve"> SPM.2: </w:t>
      </w:r>
      <w:r w:rsidR="00F96897" w:rsidRPr="00F96897">
        <w:rPr>
          <w:color w:val="000000"/>
          <w:spacing w:val="-9"/>
          <w:sz w:val="16"/>
          <w:szCs w:val="16"/>
        </w:rPr>
        <w:t>Mapy pozorované změny srážek od roku 1901 do roku 2010 a od roku 1951 do roku 2010 (trendy byly počítány s použitím stejných kritérií</w:t>
      </w:r>
      <w:r w:rsidR="003E721F">
        <w:rPr>
          <w:color w:val="000000"/>
          <w:spacing w:val="-9"/>
          <w:sz w:val="16"/>
          <w:szCs w:val="16"/>
        </w:rPr>
        <w:t>,</w:t>
      </w:r>
      <w:r w:rsidR="00F96897" w:rsidRPr="00F96897">
        <w:rPr>
          <w:color w:val="000000"/>
          <w:spacing w:val="-9"/>
          <w:sz w:val="16"/>
          <w:szCs w:val="16"/>
        </w:rPr>
        <w:t xml:space="preserve"> jako u </w:t>
      </w:r>
      <w:r w:rsidR="00F96897" w:rsidRPr="00F96897">
        <w:rPr>
          <w:color w:val="000000"/>
          <w:spacing w:val="-8"/>
          <w:sz w:val="16"/>
          <w:szCs w:val="16"/>
        </w:rPr>
        <w:t>obr. SPM.1)</w:t>
      </w:r>
      <w:r w:rsidR="00F96897" w:rsidRPr="00F96897">
        <w:rPr>
          <w:color w:val="000000"/>
          <w:spacing w:val="-9"/>
          <w:sz w:val="16"/>
          <w:szCs w:val="16"/>
        </w:rPr>
        <w:t xml:space="preserve"> z jednoho datového souboru. Další odborné informace jsou uvedeny v Dodatku k </w:t>
      </w:r>
      <w:r w:rsidR="00F96897">
        <w:rPr>
          <w:color w:val="000000"/>
          <w:spacing w:val="-9"/>
          <w:sz w:val="16"/>
          <w:szCs w:val="16"/>
        </w:rPr>
        <w:t xml:space="preserve">Technical </w:t>
      </w:r>
      <w:r w:rsidR="00257328">
        <w:rPr>
          <w:color w:val="000000"/>
          <w:spacing w:val="-9"/>
          <w:sz w:val="16"/>
          <w:szCs w:val="16"/>
        </w:rPr>
        <w:t>Summary</w:t>
      </w:r>
      <w:r w:rsidR="00F96897" w:rsidRPr="00F96897">
        <w:rPr>
          <w:color w:val="000000"/>
          <w:spacing w:val="-11"/>
          <w:sz w:val="16"/>
          <w:szCs w:val="16"/>
        </w:rPr>
        <w:t xml:space="preserve"> {obr.TS TFE.1; obr. 2.29}</w:t>
      </w:r>
    </w:p>
    <w:p w:rsidR="00621467" w:rsidRPr="00F96897" w:rsidRDefault="00621467" w:rsidP="00F96897">
      <w:pPr>
        <w:shd w:val="clear" w:color="auto" w:fill="FFFFFF"/>
        <w:tabs>
          <w:tab w:val="left" w:pos="0"/>
        </w:tabs>
        <w:spacing w:line="226" w:lineRule="exact"/>
        <w:jc w:val="both"/>
        <w:rPr>
          <w:color w:val="000000"/>
        </w:rPr>
      </w:pPr>
    </w:p>
    <w:p w:rsidR="00621467" w:rsidRPr="00621467" w:rsidRDefault="00621467" w:rsidP="00621467">
      <w:pPr>
        <w:shd w:val="clear" w:color="auto" w:fill="FFFFFF"/>
        <w:ind w:left="45" w:right="45"/>
        <w:jc w:val="both"/>
        <w:rPr>
          <w:szCs w:val="22"/>
        </w:rPr>
      </w:pPr>
    </w:p>
    <w:p w:rsidR="00AA2AEB" w:rsidRDefault="0029445C" w:rsidP="00D16E70">
      <w:pPr>
        <w:ind w:left="426" w:hanging="360"/>
        <w:rPr>
          <w:b/>
          <w:sz w:val="28"/>
          <w:szCs w:val="28"/>
        </w:rPr>
      </w:pPr>
      <w:r w:rsidRPr="0029445C">
        <w:rPr>
          <w:b/>
          <w:sz w:val="28"/>
          <w:szCs w:val="28"/>
        </w:rPr>
        <w:t>B.2 Oceán</w:t>
      </w:r>
    </w:p>
    <w:p w:rsidR="0029445C" w:rsidRDefault="0029445C" w:rsidP="00D16E70">
      <w:pPr>
        <w:ind w:left="426" w:hanging="360"/>
        <w:rPr>
          <w:b/>
          <w:sz w:val="28"/>
          <w:szCs w:val="28"/>
        </w:rPr>
      </w:pPr>
    </w:p>
    <w:p w:rsidR="0029445C" w:rsidRDefault="00C3040A" w:rsidP="00D16E70">
      <w:pPr>
        <w:ind w:left="426" w:hanging="360"/>
        <w:rPr>
          <w:b/>
          <w:sz w:val="28"/>
          <w:szCs w:val="28"/>
        </w:rPr>
      </w:pPr>
      <w:r>
        <w:rPr>
          <w:b/>
          <w:noProof/>
          <w:sz w:val="28"/>
          <w:szCs w:val="28"/>
        </w:rPr>
        <mc:AlternateContent>
          <mc:Choice Requires="wps">
            <w:drawing>
              <wp:anchor distT="0" distB="0" distL="114300" distR="114300" simplePos="0" relativeHeight="251664384" behindDoc="0" locked="0" layoutInCell="1" allowOverlap="1">
                <wp:simplePos x="0" y="0"/>
                <wp:positionH relativeFrom="column">
                  <wp:posOffset>62230</wp:posOffset>
                </wp:positionH>
                <wp:positionV relativeFrom="paragraph">
                  <wp:posOffset>5080</wp:posOffset>
                </wp:positionV>
                <wp:extent cx="6052820" cy="685165"/>
                <wp:effectExtent l="5080" t="5080" r="9525" b="5080"/>
                <wp:wrapNone/>
                <wp:docPr id="32"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2820" cy="685165"/>
                        </a:xfrm>
                        <a:prstGeom prst="rect">
                          <a:avLst/>
                        </a:prstGeom>
                        <a:solidFill>
                          <a:schemeClr val="accent6">
                            <a:lumMod val="40000"/>
                            <a:lumOff val="60000"/>
                          </a:schemeClr>
                        </a:solidFill>
                        <a:ln w="9525">
                          <a:solidFill>
                            <a:schemeClr val="accent6">
                              <a:lumMod val="40000"/>
                              <a:lumOff val="60000"/>
                            </a:schemeClr>
                          </a:solidFill>
                          <a:miter lim="800000"/>
                          <a:headEnd/>
                          <a:tailEnd/>
                        </a:ln>
                      </wps:spPr>
                      <wps:txbx>
                        <w:txbxContent>
                          <w:p w:rsidR="00C907E7" w:rsidRPr="00F04516" w:rsidRDefault="00C907E7" w:rsidP="0029445C">
                            <w:pPr>
                              <w:jc w:val="both"/>
                              <w:rPr>
                                <w:b/>
                                <w:color w:val="984806" w:themeColor="accent6" w:themeShade="80"/>
                                <w:sz w:val="16"/>
                                <w:szCs w:val="16"/>
                              </w:rPr>
                            </w:pPr>
                            <w:r w:rsidRPr="00F04516">
                              <w:rPr>
                                <w:b/>
                                <w:color w:val="984806" w:themeColor="accent6" w:themeShade="80"/>
                              </w:rPr>
                              <w:t>Oteplení oceánu dominuje v nárůstu energie, uložené v klimatickém systému, což představuje více než 90 % energie akumulované mezi lety 1971 a 2010 (</w:t>
                            </w:r>
                            <w:r w:rsidRPr="00F04516">
                              <w:rPr>
                                <w:b/>
                                <w:i/>
                                <w:color w:val="984806" w:themeColor="accent6" w:themeShade="80"/>
                              </w:rPr>
                              <w:t>vysoká spolehlivost</w:t>
                            </w:r>
                            <w:r w:rsidRPr="00F04516">
                              <w:rPr>
                                <w:b/>
                                <w:color w:val="984806" w:themeColor="accent6" w:themeShade="80"/>
                              </w:rPr>
                              <w:t xml:space="preserve">). Je </w:t>
                            </w:r>
                            <w:r w:rsidRPr="00F04516">
                              <w:rPr>
                                <w:b/>
                                <w:i/>
                                <w:color w:val="984806" w:themeColor="accent6" w:themeShade="80"/>
                              </w:rPr>
                              <w:t>prakticky jisté</w:t>
                            </w:r>
                            <w:r w:rsidRPr="00F04516">
                              <w:rPr>
                                <w:b/>
                                <w:color w:val="984806" w:themeColor="accent6" w:themeShade="80"/>
                              </w:rPr>
                              <w:t xml:space="preserve">, že se svrchní vrstva oceánu (0-700 m) od roku 1971 do roku 2010 oteplila (viz obr. SPM.3) a </w:t>
                            </w:r>
                            <w:r w:rsidRPr="00F04516">
                              <w:rPr>
                                <w:b/>
                                <w:i/>
                                <w:color w:val="984806" w:themeColor="accent6" w:themeShade="80"/>
                              </w:rPr>
                              <w:t>pravděpodobně</w:t>
                            </w:r>
                            <w:r w:rsidRPr="00F04516">
                              <w:rPr>
                                <w:b/>
                                <w:color w:val="984806" w:themeColor="accent6" w:themeShade="80"/>
                              </w:rPr>
                              <w:t xml:space="preserve"> se oteplila v období od 70. let 19. století do roku 1971. </w:t>
                            </w:r>
                            <w:r w:rsidRPr="00F04516">
                              <w:rPr>
                                <w:b/>
                                <w:color w:val="984806" w:themeColor="accent6" w:themeShade="80"/>
                                <w:sz w:val="16"/>
                                <w:szCs w:val="16"/>
                              </w:rPr>
                              <w:t>{3.2, box 3.1</w:t>
                            </w:r>
                            <w:r w:rsidRPr="00F04516">
                              <w:rPr>
                                <w:b/>
                                <w:color w:val="984806" w:themeColor="accent6" w:themeShade="80"/>
                                <w:spacing w:val="-2"/>
                                <w:sz w:val="16"/>
                                <w:szCs w:val="16"/>
                              </w:rPr>
                              <w:t>}</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5" o:spid="_x0000_s1028" type="#_x0000_t202" style="position:absolute;left:0;text-align:left;margin-left:4.9pt;margin-top:.4pt;width:476.6pt;height:53.95pt;z-index:2516643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" fillcolor="#fbd4b4 [1305]" strokecolor="#fbd4b4 [1305]">
                <v:textbox style="mso-fit-shape-to-text:t">
                  <w:txbxContent>
                    <w:p w:rsidR="00C907E7" w:rsidRPr="00F04516" w:rsidRDefault="00C907E7" w:rsidP="0029445C">
                      <w:pPr>
                        <w:jc w:val="both"/>
                        <w:rPr>
                          <w:b/>
                          <w:color w:val="984806" w:themeColor="accent6" w:themeShade="80"/>
                          <w:sz w:val="16"/>
                          <w:szCs w:val="16"/>
                        </w:rPr>
                      </w:pPr>
                      <w:r w:rsidRPr="00F04516">
                        <w:rPr>
                          <w:b/>
                          <w:color w:val="984806" w:themeColor="accent6" w:themeShade="80"/>
                        </w:rPr>
                        <w:t>Oteplení oceánu dominuje v nárůstu energie, uložené v klimatickém systému, což představuje více než 90 % energie akumulované mezi lety 1971 a 2010 (</w:t>
                      </w:r>
                      <w:r w:rsidRPr="00F04516">
                        <w:rPr>
                          <w:b/>
                          <w:i/>
                          <w:color w:val="984806" w:themeColor="accent6" w:themeShade="80"/>
                        </w:rPr>
                        <w:t>vysoká spolehlivost</w:t>
                      </w:r>
                      <w:r w:rsidRPr="00F04516">
                        <w:rPr>
                          <w:b/>
                          <w:color w:val="984806" w:themeColor="accent6" w:themeShade="80"/>
                        </w:rPr>
                        <w:t xml:space="preserve">). Je </w:t>
                      </w:r>
                      <w:r w:rsidRPr="00F04516">
                        <w:rPr>
                          <w:b/>
                          <w:i/>
                          <w:color w:val="984806" w:themeColor="accent6" w:themeShade="80"/>
                        </w:rPr>
                        <w:t>prakticky jisté</w:t>
                      </w:r>
                      <w:r w:rsidRPr="00F04516">
                        <w:rPr>
                          <w:b/>
                          <w:color w:val="984806" w:themeColor="accent6" w:themeShade="80"/>
                        </w:rPr>
                        <w:t xml:space="preserve">, že se svrchní vrstva oceánu (0-700 m) od roku 1971 do roku 2010 oteplila (viz obr. SPM.3) a </w:t>
                      </w:r>
                      <w:r w:rsidRPr="00F04516">
                        <w:rPr>
                          <w:b/>
                          <w:i/>
                          <w:color w:val="984806" w:themeColor="accent6" w:themeShade="80"/>
                        </w:rPr>
                        <w:t>pravděpodobně</w:t>
                      </w:r>
                      <w:r w:rsidRPr="00F04516">
                        <w:rPr>
                          <w:b/>
                          <w:color w:val="984806" w:themeColor="accent6" w:themeShade="80"/>
                        </w:rPr>
                        <w:t xml:space="preserve"> se oteplila v období od 70. let 19. století do roku 1971. </w:t>
                      </w:r>
                      <w:r w:rsidRPr="00F04516">
                        <w:rPr>
                          <w:b/>
                          <w:color w:val="984806" w:themeColor="accent6" w:themeShade="80"/>
                          <w:sz w:val="16"/>
                          <w:szCs w:val="16"/>
                        </w:rPr>
                        <w:t>{3.2, box 3.1</w:t>
                      </w:r>
                      <w:r w:rsidRPr="00F04516">
                        <w:rPr>
                          <w:b/>
                          <w:color w:val="984806" w:themeColor="accent6" w:themeShade="80"/>
                          <w:spacing w:val="-2"/>
                          <w:sz w:val="16"/>
                          <w:szCs w:val="16"/>
                        </w:rPr>
                        <w:t>}</w:t>
                      </w:r>
                    </w:p>
                  </w:txbxContent>
                </v:textbox>
              </v:shape>
            </w:pict>
          </mc:Fallback>
        </mc:AlternateContent>
      </w:r>
    </w:p>
    <w:p w:rsidR="00F04516" w:rsidRDefault="00F04516" w:rsidP="00D16E70">
      <w:pPr>
        <w:ind w:left="426" w:hanging="360"/>
        <w:rPr>
          <w:b/>
          <w:sz w:val="28"/>
          <w:szCs w:val="28"/>
        </w:rPr>
      </w:pPr>
    </w:p>
    <w:p w:rsidR="00F04516" w:rsidRDefault="00F04516" w:rsidP="00D16E70">
      <w:pPr>
        <w:ind w:left="426" w:hanging="360"/>
        <w:rPr>
          <w:b/>
          <w:sz w:val="28"/>
          <w:szCs w:val="28"/>
        </w:rPr>
      </w:pPr>
    </w:p>
    <w:p w:rsidR="00F04516" w:rsidRDefault="00F04516" w:rsidP="00D16E70">
      <w:pPr>
        <w:ind w:left="426" w:hanging="360"/>
        <w:rPr>
          <w:b/>
          <w:sz w:val="28"/>
          <w:szCs w:val="28"/>
        </w:rPr>
      </w:pPr>
    </w:p>
    <w:p w:rsidR="00F04516" w:rsidRDefault="00F04516" w:rsidP="00F04516">
      <w:pPr>
        <w:shd w:val="clear" w:color="auto" w:fill="FFFFFF"/>
        <w:spacing w:line="226" w:lineRule="exact"/>
        <w:ind w:left="360" w:right="77"/>
        <w:jc w:val="both"/>
        <w:rPr>
          <w:rFonts w:ascii="Arial Narrow" w:hAnsi="Arial Narrow"/>
          <w:bCs/>
          <w:color w:val="000000"/>
        </w:rPr>
      </w:pPr>
    </w:p>
    <w:p w:rsidR="00F04516" w:rsidRPr="00E03897" w:rsidRDefault="00F04516" w:rsidP="00E03897">
      <w:pPr>
        <w:numPr>
          <w:ilvl w:val="0"/>
          <w:numId w:val="6"/>
        </w:numPr>
        <w:shd w:val="clear" w:color="auto" w:fill="FFFFFF"/>
        <w:spacing w:line="226" w:lineRule="exact"/>
        <w:ind w:left="284" w:right="77" w:hanging="284"/>
        <w:jc w:val="both"/>
        <w:rPr>
          <w:rFonts w:ascii="Arial Narrow" w:hAnsi="Arial Narrow"/>
          <w:bCs/>
          <w:color w:val="000000"/>
        </w:rPr>
      </w:pPr>
      <w:r w:rsidRPr="00E03897">
        <w:rPr>
          <w:rFonts w:ascii="Arial Narrow" w:hAnsi="Arial Narrow"/>
          <w:bCs/>
          <w:color w:val="000000"/>
        </w:rPr>
        <w:t xml:space="preserve">V globálním měřítku je oteplení oceánu největší poblíž povrchu, přičemž horních 75 m se v období 1971-2010 oteplilo rychlostí 0,11 </w:t>
      </w:r>
      <w:r w:rsidRPr="00E03897">
        <w:rPr>
          <w:rFonts w:ascii="Arial Narrow" w:hAnsi="Arial Narrow"/>
          <w:color w:val="000000"/>
          <w:spacing w:val="11"/>
        </w:rPr>
        <w:t>[0,09 až 0,13]°C za dekádu</w:t>
      </w:r>
      <w:r w:rsidRPr="00E03897">
        <w:rPr>
          <w:rFonts w:ascii="Arial Narrow" w:hAnsi="Arial Narrow"/>
          <w:bCs/>
          <w:color w:val="000000"/>
        </w:rPr>
        <w:t xml:space="preserve">. Od Čtvrté hodnotící zprávy byly identifikovány a redukovány nepřesnosti měřících přístrojů, což zvýšilo jistotu hodnocení změny. {3.2} </w:t>
      </w:r>
    </w:p>
    <w:p w:rsidR="00F04516" w:rsidRPr="00E03897" w:rsidRDefault="00F04516" w:rsidP="00E03897">
      <w:pPr>
        <w:shd w:val="clear" w:color="auto" w:fill="FFFFFF"/>
        <w:spacing w:line="226" w:lineRule="exact"/>
        <w:ind w:left="284" w:right="77" w:hanging="284"/>
        <w:jc w:val="both"/>
        <w:rPr>
          <w:rFonts w:ascii="Arial Narrow" w:hAnsi="Arial Narrow"/>
          <w:bCs/>
          <w:color w:val="000000"/>
        </w:rPr>
      </w:pPr>
    </w:p>
    <w:p w:rsidR="00F04516" w:rsidRPr="00E03897" w:rsidRDefault="00F04516" w:rsidP="00E03897">
      <w:pPr>
        <w:numPr>
          <w:ilvl w:val="0"/>
          <w:numId w:val="6"/>
        </w:numPr>
        <w:shd w:val="clear" w:color="auto" w:fill="FFFFFF"/>
        <w:spacing w:line="226" w:lineRule="exact"/>
        <w:ind w:left="284" w:right="77" w:hanging="284"/>
        <w:jc w:val="both"/>
        <w:rPr>
          <w:rFonts w:ascii="Arial Narrow" w:hAnsi="Arial Narrow"/>
          <w:bCs/>
          <w:color w:val="000000"/>
        </w:rPr>
      </w:pPr>
      <w:r w:rsidRPr="00E03897">
        <w:rPr>
          <w:rFonts w:ascii="Arial Narrow" w:hAnsi="Arial Narrow"/>
          <w:bCs/>
          <w:color w:val="000000"/>
        </w:rPr>
        <w:t xml:space="preserve">Je </w:t>
      </w:r>
      <w:r w:rsidRPr="00E03897">
        <w:rPr>
          <w:rFonts w:ascii="Arial Narrow" w:hAnsi="Arial Narrow"/>
          <w:bCs/>
          <w:i/>
          <w:color w:val="000000"/>
        </w:rPr>
        <w:t>pravděpodobné</w:t>
      </w:r>
      <w:r w:rsidRPr="00E03897">
        <w:rPr>
          <w:rFonts w:ascii="Arial Narrow" w:hAnsi="Arial Narrow"/>
          <w:bCs/>
          <w:color w:val="000000"/>
        </w:rPr>
        <w:t xml:space="preserve">, že se oceán v hloubce od 700 do 2000 m v období 1957 až 2009 oteplil. Za období 1992 až 2005 je k dispozici dostatek pozorování pro globální hodnocení změny teploty v hloubce pod 2000 m. V hloubce mezi 2000 a 3000 m </w:t>
      </w:r>
      <w:r w:rsidRPr="00E03897">
        <w:rPr>
          <w:rFonts w:ascii="Arial Narrow" w:hAnsi="Arial Narrow"/>
          <w:bCs/>
          <w:i/>
          <w:color w:val="000000"/>
        </w:rPr>
        <w:t>pravděpodobně</w:t>
      </w:r>
      <w:r w:rsidRPr="00E03897">
        <w:rPr>
          <w:rFonts w:ascii="Arial Narrow" w:hAnsi="Arial Narrow"/>
          <w:bCs/>
          <w:color w:val="000000"/>
        </w:rPr>
        <w:t xml:space="preserve"> nebyly v tomto období žádné významné pozorované trendy teploty. Je </w:t>
      </w:r>
      <w:r w:rsidRPr="00E03897">
        <w:rPr>
          <w:rFonts w:ascii="Arial Narrow" w:hAnsi="Arial Narrow"/>
          <w:bCs/>
          <w:i/>
          <w:color w:val="000000"/>
        </w:rPr>
        <w:t>pravděpodobné</w:t>
      </w:r>
      <w:r w:rsidRPr="00E03897">
        <w:rPr>
          <w:rFonts w:ascii="Arial Narrow" w:hAnsi="Arial Narrow"/>
          <w:bCs/>
          <w:color w:val="000000"/>
        </w:rPr>
        <w:t>, že se oceán v hloubce mezi 3000 m a dnem v tomto období oteplil, přičemž největší oteplení bylo pozorováno v Jižním oceánu. {3.2}</w:t>
      </w:r>
    </w:p>
    <w:p w:rsidR="00F04516" w:rsidRPr="00E03897" w:rsidRDefault="00F04516" w:rsidP="00E03897">
      <w:pPr>
        <w:pStyle w:val="Odstavecseseznamem"/>
        <w:ind w:left="284" w:hanging="284"/>
        <w:rPr>
          <w:rFonts w:ascii="Arial Narrow" w:hAnsi="Arial Narrow"/>
          <w:bCs/>
          <w:color w:val="000000"/>
        </w:rPr>
      </w:pPr>
    </w:p>
    <w:p w:rsidR="00F04516" w:rsidRPr="00E03897" w:rsidRDefault="00F04516" w:rsidP="00E03897">
      <w:pPr>
        <w:numPr>
          <w:ilvl w:val="0"/>
          <w:numId w:val="6"/>
        </w:numPr>
        <w:shd w:val="clear" w:color="auto" w:fill="FFFFFF"/>
        <w:spacing w:line="226" w:lineRule="exact"/>
        <w:ind w:left="284" w:right="77" w:hanging="284"/>
        <w:jc w:val="both"/>
        <w:rPr>
          <w:rFonts w:ascii="Arial Narrow" w:hAnsi="Arial Narrow"/>
          <w:bCs/>
          <w:color w:val="000000"/>
        </w:rPr>
      </w:pPr>
      <w:r w:rsidRPr="00E03897">
        <w:rPr>
          <w:rFonts w:ascii="Arial Narrow" w:hAnsi="Arial Narrow"/>
          <w:bCs/>
          <w:color w:val="000000"/>
        </w:rPr>
        <w:t xml:space="preserve">Více než 60 % čistého nárůstu energie v  klimatickém systému v průběhu 40-letého období 1971 až 2010, které je relativně dobře sledováno, je uloženo ve svrchních vrstvách oceánu (0-700 m) a zhruba 30 % je uloženo v oceánu v hloubce pod 700 m. Zvýšení obsahu tepla ve svrchních vrstvách oceánu v průběhu tohoto časového období, odhadnuté podle lineárního trendu, je </w:t>
      </w:r>
      <w:r w:rsidRPr="00E03897">
        <w:rPr>
          <w:rFonts w:ascii="Arial Narrow" w:hAnsi="Arial Narrow"/>
          <w:bCs/>
          <w:i/>
          <w:color w:val="000000"/>
        </w:rPr>
        <w:t>pravděpodobně</w:t>
      </w:r>
      <w:r w:rsidRPr="00E03897">
        <w:rPr>
          <w:rFonts w:ascii="Arial Narrow" w:hAnsi="Arial Narrow"/>
          <w:bCs/>
          <w:color w:val="000000"/>
        </w:rPr>
        <w:t xml:space="preserve"> </w:t>
      </w:r>
      <w:r w:rsidRPr="00E03897">
        <w:rPr>
          <w:rFonts w:ascii="Arial Narrow" w:hAnsi="Arial Narrow"/>
          <w:color w:val="000000"/>
          <w:spacing w:val="-2"/>
        </w:rPr>
        <w:t>17 [15 až 19] x 10</w:t>
      </w:r>
      <w:r w:rsidRPr="00E03897">
        <w:rPr>
          <w:rFonts w:ascii="Arial Narrow" w:hAnsi="Arial Narrow"/>
          <w:color w:val="000000"/>
          <w:spacing w:val="-2"/>
          <w:vertAlign w:val="superscript"/>
        </w:rPr>
        <w:t>22</w:t>
      </w:r>
      <w:r w:rsidRPr="00E03897">
        <w:rPr>
          <w:rFonts w:ascii="Arial Narrow" w:hAnsi="Arial Narrow"/>
          <w:color w:val="000000"/>
          <w:spacing w:val="-2"/>
        </w:rPr>
        <w:t xml:space="preserve"> J (obr. SPM.3).</w:t>
      </w:r>
      <w:r w:rsidRPr="00E03897">
        <w:rPr>
          <w:rStyle w:val="Znakapoznpodarou"/>
          <w:rFonts w:ascii="Arial Narrow" w:hAnsi="Arial Narrow"/>
          <w:color w:val="000000"/>
          <w:spacing w:val="-2"/>
        </w:rPr>
        <w:footnoteReference w:id="7"/>
      </w:r>
      <w:r w:rsidRPr="00E03897">
        <w:rPr>
          <w:rFonts w:ascii="Arial Narrow" w:hAnsi="Arial Narrow"/>
          <w:color w:val="000000"/>
          <w:spacing w:val="-2"/>
        </w:rPr>
        <w:t xml:space="preserve"> {3.2, </w:t>
      </w:r>
      <w:r w:rsidRPr="00E03897">
        <w:rPr>
          <w:rFonts w:ascii="Arial Narrow" w:hAnsi="Arial Narrow"/>
          <w:color w:val="000000"/>
          <w:spacing w:val="-3"/>
        </w:rPr>
        <w:t>box 3.1}</w:t>
      </w:r>
      <w:r w:rsidRPr="00E03897">
        <w:rPr>
          <w:rFonts w:ascii="Arial Narrow" w:hAnsi="Arial Narrow"/>
          <w:bCs/>
          <w:color w:val="000000"/>
        </w:rPr>
        <w:t>.</w:t>
      </w:r>
    </w:p>
    <w:p w:rsidR="00F04516" w:rsidRPr="00E03897" w:rsidRDefault="00F04516" w:rsidP="00E03897">
      <w:pPr>
        <w:pStyle w:val="Odstavecseseznamem"/>
        <w:ind w:left="284" w:hanging="284"/>
        <w:rPr>
          <w:rFonts w:ascii="Arial Narrow" w:hAnsi="Arial Narrow"/>
          <w:bCs/>
          <w:color w:val="000000"/>
        </w:rPr>
      </w:pPr>
    </w:p>
    <w:p w:rsidR="00F04516" w:rsidRPr="00E03897" w:rsidRDefault="00F04516" w:rsidP="00E03897">
      <w:pPr>
        <w:numPr>
          <w:ilvl w:val="0"/>
          <w:numId w:val="6"/>
        </w:numPr>
        <w:shd w:val="clear" w:color="auto" w:fill="FFFFFF"/>
        <w:spacing w:line="226" w:lineRule="exact"/>
        <w:ind w:left="284" w:right="77" w:hanging="284"/>
        <w:jc w:val="both"/>
        <w:rPr>
          <w:rFonts w:ascii="Arial Narrow" w:hAnsi="Arial Narrow"/>
          <w:bCs/>
          <w:color w:val="000000"/>
        </w:rPr>
      </w:pPr>
      <w:r w:rsidRPr="00E03897">
        <w:rPr>
          <w:rFonts w:ascii="Arial Narrow" w:hAnsi="Arial Narrow"/>
          <w:bCs/>
          <w:color w:val="000000"/>
        </w:rPr>
        <w:t xml:space="preserve">Je </w:t>
      </w:r>
      <w:r w:rsidRPr="00E03897">
        <w:rPr>
          <w:rFonts w:ascii="Arial Narrow" w:hAnsi="Arial Narrow"/>
          <w:bCs/>
          <w:i/>
          <w:color w:val="000000"/>
        </w:rPr>
        <w:t>stejně pravděpodobné jako nepravděpodobné</w:t>
      </w:r>
      <w:r w:rsidRPr="00E03897">
        <w:rPr>
          <w:rFonts w:ascii="Arial Narrow" w:hAnsi="Arial Narrow"/>
          <w:bCs/>
          <w:color w:val="000000"/>
        </w:rPr>
        <w:t xml:space="preserve">, že se obsah tepla v oceánu v hloubce 0-700 m zvyšoval v období 2003-2010 pomaleji než v období 1993-2002 (viz obr. SPM.3). Nárůst tepla v oceánu v hloubce 700-2000 m, kde je meziroční variabilita menší, v období 1993 až 2009 </w:t>
      </w:r>
      <w:r w:rsidRPr="00E03897">
        <w:rPr>
          <w:rFonts w:ascii="Arial Narrow" w:hAnsi="Arial Narrow"/>
          <w:bCs/>
          <w:i/>
          <w:color w:val="000000"/>
        </w:rPr>
        <w:t>pravděpodobně</w:t>
      </w:r>
      <w:r w:rsidRPr="00E03897">
        <w:rPr>
          <w:rFonts w:ascii="Arial Narrow" w:hAnsi="Arial Narrow"/>
          <w:bCs/>
          <w:color w:val="000000"/>
        </w:rPr>
        <w:t xml:space="preserve"> pokračoval stejným tempem. {3.2, </w:t>
      </w:r>
      <w:r w:rsidRPr="00E03897">
        <w:rPr>
          <w:rFonts w:ascii="Arial Narrow" w:hAnsi="Arial Narrow"/>
          <w:color w:val="000000"/>
          <w:spacing w:val="-3"/>
        </w:rPr>
        <w:t>box 9.2</w:t>
      </w:r>
      <w:r w:rsidRPr="00E03897">
        <w:rPr>
          <w:rFonts w:ascii="Arial Narrow" w:hAnsi="Arial Narrow"/>
          <w:bCs/>
          <w:color w:val="000000"/>
        </w:rPr>
        <w:t xml:space="preserve">}  </w:t>
      </w:r>
    </w:p>
    <w:p w:rsidR="00F04516" w:rsidRPr="00E03897" w:rsidRDefault="00F04516" w:rsidP="00E03897">
      <w:pPr>
        <w:pStyle w:val="Odstavecseseznamem"/>
        <w:ind w:left="284" w:hanging="284"/>
        <w:rPr>
          <w:rFonts w:ascii="Arial Narrow" w:hAnsi="Arial Narrow"/>
          <w:bCs/>
          <w:color w:val="000000"/>
        </w:rPr>
      </w:pPr>
    </w:p>
    <w:p w:rsidR="00F04516" w:rsidRPr="00E03897" w:rsidRDefault="00F04516" w:rsidP="00E03897">
      <w:pPr>
        <w:numPr>
          <w:ilvl w:val="0"/>
          <w:numId w:val="6"/>
        </w:numPr>
        <w:shd w:val="clear" w:color="auto" w:fill="FFFFFF"/>
        <w:spacing w:line="226" w:lineRule="exact"/>
        <w:ind w:left="284" w:right="77" w:hanging="284"/>
        <w:jc w:val="both"/>
        <w:rPr>
          <w:rFonts w:ascii="Arial Narrow" w:hAnsi="Arial Narrow"/>
          <w:bCs/>
          <w:color w:val="000000"/>
        </w:rPr>
      </w:pPr>
      <w:r w:rsidRPr="00E03897">
        <w:rPr>
          <w:rFonts w:ascii="Arial Narrow" w:hAnsi="Arial Narrow"/>
          <w:bCs/>
          <w:color w:val="000000"/>
        </w:rPr>
        <w:t xml:space="preserve">Je </w:t>
      </w:r>
      <w:r w:rsidRPr="00E03897">
        <w:rPr>
          <w:rFonts w:ascii="Arial Narrow" w:hAnsi="Arial Narrow"/>
          <w:bCs/>
          <w:i/>
          <w:color w:val="000000"/>
        </w:rPr>
        <w:t>velmi pravděpodobné</w:t>
      </w:r>
      <w:r w:rsidRPr="00E03897">
        <w:rPr>
          <w:rFonts w:ascii="Arial Narrow" w:hAnsi="Arial Narrow"/>
          <w:bCs/>
          <w:color w:val="000000"/>
        </w:rPr>
        <w:t>, že se salinita v oblastech s vysokou salinitou, kde dominuje výpar, od padesátých let 20. století zvýšila, zatímco v oblastech s nízkou salinitou, kde dominují srážky, se snížila. Tyto regionální trendy salinity oceánu poskytují nepřímý důkaz, že se výpar a srážky nad oceány změnily (</w:t>
      </w:r>
      <w:r w:rsidRPr="00E03897">
        <w:rPr>
          <w:rFonts w:ascii="Arial Narrow" w:hAnsi="Arial Narrow"/>
          <w:bCs/>
          <w:i/>
          <w:color w:val="000000"/>
        </w:rPr>
        <w:t>střední spolehlivost)</w:t>
      </w:r>
      <w:r w:rsidRPr="00E03897">
        <w:rPr>
          <w:rFonts w:ascii="Arial Narrow" w:hAnsi="Arial Narrow"/>
          <w:bCs/>
          <w:color w:val="000000"/>
        </w:rPr>
        <w:t xml:space="preserve">. </w:t>
      </w:r>
      <w:r w:rsidRPr="00E03897">
        <w:rPr>
          <w:rFonts w:ascii="Arial Narrow" w:hAnsi="Arial Narrow"/>
          <w:color w:val="000000"/>
          <w:spacing w:val="1"/>
        </w:rPr>
        <w:t>{2.5, 3.3, 3.5}</w:t>
      </w:r>
    </w:p>
    <w:p w:rsidR="00F04516" w:rsidRPr="00E03897" w:rsidRDefault="00F04516" w:rsidP="00E03897">
      <w:pPr>
        <w:pStyle w:val="Odstavecseseznamem"/>
        <w:ind w:left="284" w:hanging="284"/>
        <w:rPr>
          <w:rFonts w:ascii="Arial Narrow" w:hAnsi="Arial Narrow"/>
          <w:bCs/>
          <w:color w:val="000000"/>
        </w:rPr>
      </w:pPr>
    </w:p>
    <w:p w:rsidR="00F04516" w:rsidRPr="00E03897" w:rsidRDefault="00F04516" w:rsidP="00E03897">
      <w:pPr>
        <w:numPr>
          <w:ilvl w:val="0"/>
          <w:numId w:val="6"/>
        </w:numPr>
        <w:shd w:val="clear" w:color="auto" w:fill="FFFFFF"/>
        <w:spacing w:line="226" w:lineRule="exact"/>
        <w:ind w:left="284" w:right="77" w:hanging="284"/>
        <w:jc w:val="both"/>
        <w:rPr>
          <w:rFonts w:ascii="Arial Narrow" w:hAnsi="Arial Narrow"/>
          <w:bCs/>
          <w:color w:val="000000"/>
        </w:rPr>
      </w:pPr>
      <w:r w:rsidRPr="00E03897">
        <w:rPr>
          <w:rFonts w:ascii="Arial Narrow" w:hAnsi="Arial Narrow"/>
          <w:bCs/>
          <w:color w:val="000000"/>
        </w:rPr>
        <w:t xml:space="preserve">Na základě desetiletých záznamů pozorování Atlantické meridionální cirkulace (AMOC, Atlantic Meridional Overturning Circulation) a dlouhodobějších záznamů o pozorování jednotlivých složek AMOC nebyl zjištěn žádný důkaz trendu. {3.6} </w:t>
      </w:r>
    </w:p>
    <w:p w:rsidR="00F04516" w:rsidRDefault="00F04516" w:rsidP="00D16E70">
      <w:pPr>
        <w:ind w:left="426" w:hanging="360"/>
        <w:rPr>
          <w:rFonts w:ascii="Arial Narrow" w:hAnsi="Arial Narrow"/>
          <w:b/>
        </w:rPr>
      </w:pPr>
    </w:p>
    <w:p w:rsidR="00E35631" w:rsidRDefault="00E35631" w:rsidP="00D16E70">
      <w:pPr>
        <w:ind w:left="426" w:hanging="360"/>
        <w:rPr>
          <w:rFonts w:ascii="Arial Narrow" w:hAnsi="Arial Narrow"/>
          <w:b/>
        </w:rPr>
      </w:pPr>
    </w:p>
    <w:p w:rsidR="00E35631" w:rsidRDefault="00E35631" w:rsidP="00D16E70">
      <w:pPr>
        <w:ind w:left="426" w:hanging="360"/>
        <w:rPr>
          <w:rFonts w:ascii="Arial Narrow" w:hAnsi="Arial Narrow"/>
          <w:b/>
        </w:rPr>
      </w:pPr>
    </w:p>
    <w:p w:rsidR="00E35631" w:rsidRDefault="00E35631" w:rsidP="00D16E70">
      <w:pPr>
        <w:ind w:left="426" w:hanging="360"/>
        <w:rPr>
          <w:b/>
          <w:sz w:val="28"/>
          <w:szCs w:val="28"/>
        </w:rPr>
      </w:pPr>
      <w:r w:rsidRPr="00E35631">
        <w:rPr>
          <w:b/>
          <w:sz w:val="28"/>
          <w:szCs w:val="28"/>
        </w:rPr>
        <w:lastRenderedPageBreak/>
        <w:t>B.3 Kryosféra</w:t>
      </w:r>
    </w:p>
    <w:p w:rsidR="00E35631" w:rsidRDefault="00C3040A" w:rsidP="00D16E70">
      <w:pPr>
        <w:ind w:left="426" w:hanging="360"/>
        <w:rPr>
          <w:b/>
          <w:sz w:val="28"/>
          <w:szCs w:val="28"/>
        </w:rPr>
      </w:pPr>
      <w:r>
        <w:rPr>
          <w:b/>
          <w:noProof/>
          <w:sz w:val="28"/>
          <w:szCs w:val="28"/>
        </w:rPr>
        <mc:AlternateContent>
          <mc:Choice Requires="wps">
            <w:drawing>
              <wp:anchor distT="0" distB="0" distL="114300" distR="114300" simplePos="0" relativeHeight="251665408" behindDoc="0" locked="0" layoutInCell="1" allowOverlap="1">
                <wp:simplePos x="0" y="0"/>
                <wp:positionH relativeFrom="column">
                  <wp:posOffset>25400</wp:posOffset>
                </wp:positionH>
                <wp:positionV relativeFrom="paragraph">
                  <wp:posOffset>65405</wp:posOffset>
                </wp:positionV>
                <wp:extent cx="6052820" cy="539115"/>
                <wp:effectExtent l="6350" t="8255" r="8255" b="5080"/>
                <wp:wrapNone/>
                <wp:docPr id="3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2820" cy="539115"/>
                        </a:xfrm>
                        <a:prstGeom prst="rect">
                          <a:avLst/>
                        </a:prstGeom>
                        <a:solidFill>
                          <a:schemeClr val="accent6">
                            <a:lumMod val="40000"/>
                            <a:lumOff val="60000"/>
                          </a:schemeClr>
                        </a:solidFill>
                        <a:ln w="9525">
                          <a:solidFill>
                            <a:schemeClr val="accent6">
                              <a:lumMod val="40000"/>
                              <a:lumOff val="60000"/>
                            </a:schemeClr>
                          </a:solidFill>
                          <a:miter lim="800000"/>
                          <a:headEnd/>
                          <a:tailEnd/>
                        </a:ln>
                      </wps:spPr>
                      <wps:txbx>
                        <w:txbxContent>
                          <w:p w:rsidR="00C907E7" w:rsidRPr="00E35631" w:rsidRDefault="00C907E7" w:rsidP="006A086B">
                            <w:pPr>
                              <w:jc w:val="both"/>
                              <w:rPr>
                                <w:b/>
                                <w:color w:val="984806" w:themeColor="accent6" w:themeShade="80"/>
                              </w:rPr>
                            </w:pPr>
                            <w:r w:rsidRPr="00E35631">
                              <w:rPr>
                                <w:b/>
                                <w:color w:val="984806" w:themeColor="accent6" w:themeShade="80"/>
                              </w:rPr>
                              <w:t>V posledních dvou desetiletích se zmenšuje hmotnost grónského a antarktického ledového příkrovu, ledovce dále ustupují téměř v celém světě a arktický mořský led a rozsah jarní sněhové pokrývky na severní polokouli se dále zmenšuje (</w:t>
                            </w:r>
                            <w:r w:rsidRPr="00E35631">
                              <w:rPr>
                                <w:b/>
                                <w:i/>
                                <w:color w:val="984806" w:themeColor="accent6" w:themeShade="80"/>
                              </w:rPr>
                              <w:t>vysoká spolehlivost</w:t>
                            </w:r>
                            <w:r w:rsidRPr="00E35631">
                              <w:rPr>
                                <w:b/>
                                <w:color w:val="984806" w:themeColor="accent6" w:themeShade="80"/>
                              </w:rPr>
                              <w:t xml:space="preserve">) (viz obr. SPM.3) </w:t>
                            </w:r>
                            <w:r w:rsidRPr="00E35631">
                              <w:rPr>
                                <w:b/>
                                <w:color w:val="984806" w:themeColor="accent6" w:themeShade="80"/>
                                <w:sz w:val="16"/>
                                <w:szCs w:val="16"/>
                              </w:rPr>
                              <w:t>{4.2-4.7}</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7" o:spid="_x0000_s1029" type="#_x0000_t202" style="position:absolute;left:0;text-align:left;margin-left:2pt;margin-top:5.15pt;width:476.6pt;height:42.45pt;z-index:2516654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" fillcolor="#fbd4b4 [1305]" strokecolor="#fbd4b4 [1305]">
                <v:textbox style="mso-fit-shape-to-text:t">
                  <w:txbxContent>
                    <w:p w:rsidR="00C907E7" w:rsidRPr="00E35631" w:rsidRDefault="00C907E7" w:rsidP="006A086B">
                      <w:pPr>
                        <w:jc w:val="both"/>
                        <w:rPr>
                          <w:b/>
                          <w:color w:val="984806" w:themeColor="accent6" w:themeShade="80"/>
                        </w:rPr>
                      </w:pPr>
                      <w:r w:rsidRPr="00E35631">
                        <w:rPr>
                          <w:b/>
                          <w:color w:val="984806" w:themeColor="accent6" w:themeShade="80"/>
                        </w:rPr>
                        <w:t>V posledních dvou desetiletích se zmenšuje hmotnost grónského a antarktického ledového příkrovu, ledovce dále ustupují téměř v celém světě a arktický mořský led a rozsah jarní sněhové pokrývky na severní polokouli se dále zmenšuje (</w:t>
                      </w:r>
                      <w:r w:rsidRPr="00E35631">
                        <w:rPr>
                          <w:b/>
                          <w:i/>
                          <w:color w:val="984806" w:themeColor="accent6" w:themeShade="80"/>
                        </w:rPr>
                        <w:t>vysoká spolehlivost</w:t>
                      </w:r>
                      <w:r w:rsidRPr="00E35631">
                        <w:rPr>
                          <w:b/>
                          <w:color w:val="984806" w:themeColor="accent6" w:themeShade="80"/>
                        </w:rPr>
                        <w:t xml:space="preserve">) (viz obr. SPM.3) </w:t>
                      </w:r>
                      <w:r w:rsidRPr="00E35631">
                        <w:rPr>
                          <w:b/>
                          <w:color w:val="984806" w:themeColor="accent6" w:themeShade="80"/>
                          <w:sz w:val="16"/>
                          <w:szCs w:val="16"/>
                        </w:rPr>
                        <w:t>{4.2-4.7}</w:t>
                      </w:r>
                    </w:p>
                  </w:txbxContent>
                </v:textbox>
              </v:shape>
            </w:pict>
          </mc:Fallback>
        </mc:AlternateContent>
      </w:r>
    </w:p>
    <w:p w:rsidR="00E35631" w:rsidRDefault="00E35631" w:rsidP="00D16E70">
      <w:pPr>
        <w:ind w:left="426" w:hanging="360"/>
        <w:rPr>
          <w:b/>
          <w:sz w:val="28"/>
          <w:szCs w:val="28"/>
        </w:rPr>
      </w:pPr>
    </w:p>
    <w:p w:rsidR="00E35631" w:rsidRDefault="00E35631" w:rsidP="00D16E70">
      <w:pPr>
        <w:ind w:left="426" w:hanging="360"/>
        <w:rPr>
          <w:b/>
          <w:sz w:val="28"/>
          <w:szCs w:val="28"/>
        </w:rPr>
      </w:pPr>
    </w:p>
    <w:p w:rsidR="00E35631" w:rsidRDefault="00E35631" w:rsidP="00D16E70">
      <w:pPr>
        <w:ind w:left="426" w:hanging="360"/>
        <w:rPr>
          <w:b/>
          <w:sz w:val="28"/>
          <w:szCs w:val="28"/>
        </w:rPr>
      </w:pPr>
    </w:p>
    <w:p w:rsidR="00E35631" w:rsidRPr="001140FE" w:rsidRDefault="00E35631" w:rsidP="00E35631">
      <w:pPr>
        <w:numPr>
          <w:ilvl w:val="0"/>
          <w:numId w:val="6"/>
        </w:numPr>
        <w:shd w:val="clear" w:color="auto" w:fill="FFFFFF"/>
        <w:spacing w:line="226" w:lineRule="exact"/>
        <w:ind w:right="77"/>
        <w:jc w:val="both"/>
        <w:rPr>
          <w:rFonts w:ascii="Calibri" w:hAnsi="Calibri"/>
          <w:bCs/>
          <w:color w:val="000000"/>
          <w:sz w:val="22"/>
          <w:szCs w:val="22"/>
        </w:rPr>
      </w:pPr>
      <w:r w:rsidRPr="001140FE">
        <w:rPr>
          <w:rFonts w:ascii="Calibri" w:hAnsi="Calibri"/>
          <w:bCs/>
          <w:color w:val="000000"/>
          <w:sz w:val="22"/>
          <w:szCs w:val="22"/>
        </w:rPr>
        <w:t>Průměrná rychlost úbytku ledu</w:t>
      </w:r>
      <w:r w:rsidRPr="001140FE">
        <w:rPr>
          <w:vertAlign w:val="superscript"/>
        </w:rPr>
        <w:footnoteReference w:id="8"/>
      </w:r>
      <w:r w:rsidRPr="001140FE">
        <w:rPr>
          <w:rFonts w:ascii="Calibri" w:hAnsi="Calibri"/>
          <w:bCs/>
          <w:color w:val="000000"/>
          <w:sz w:val="22"/>
          <w:szCs w:val="22"/>
        </w:rPr>
        <w:t xml:space="preserve"> z ledovců na celém světě, s výjimkou ledovců na okraji ledov</w:t>
      </w:r>
      <w:r>
        <w:rPr>
          <w:rFonts w:ascii="Calibri" w:hAnsi="Calibri"/>
          <w:bCs/>
          <w:color w:val="000000"/>
          <w:sz w:val="22"/>
          <w:szCs w:val="22"/>
        </w:rPr>
        <w:t>cov</w:t>
      </w:r>
      <w:r w:rsidRPr="001140FE">
        <w:rPr>
          <w:rFonts w:ascii="Calibri" w:hAnsi="Calibri"/>
          <w:bCs/>
          <w:color w:val="000000"/>
          <w:sz w:val="22"/>
          <w:szCs w:val="22"/>
        </w:rPr>
        <w:t>ých příkrovů</w:t>
      </w:r>
      <w:r w:rsidRPr="001140FE">
        <w:rPr>
          <w:rStyle w:val="Znakapoznpodarou"/>
          <w:rFonts w:ascii="Calibri" w:hAnsi="Calibri"/>
          <w:bCs/>
          <w:color w:val="000000"/>
          <w:sz w:val="22"/>
          <w:szCs w:val="22"/>
        </w:rPr>
        <w:footnoteReference w:id="9"/>
      </w:r>
      <w:r w:rsidRPr="001140FE">
        <w:rPr>
          <w:rFonts w:ascii="Calibri" w:hAnsi="Calibri"/>
          <w:bCs/>
          <w:color w:val="000000"/>
          <w:sz w:val="22"/>
          <w:szCs w:val="22"/>
        </w:rPr>
        <w:t xml:space="preserve">, činila v období 1971-2009 </w:t>
      </w:r>
      <w:r w:rsidRPr="00E91C0A">
        <w:rPr>
          <w:rFonts w:ascii="Calibri" w:hAnsi="Calibri"/>
          <w:bCs/>
          <w:i/>
          <w:color w:val="000000"/>
          <w:sz w:val="22"/>
          <w:szCs w:val="22"/>
        </w:rPr>
        <w:t>velmi pravděpodobně</w:t>
      </w:r>
      <w:r w:rsidRPr="001140FE">
        <w:rPr>
          <w:rFonts w:ascii="Calibri" w:hAnsi="Calibri"/>
          <w:bCs/>
          <w:color w:val="000000"/>
          <w:sz w:val="22"/>
          <w:szCs w:val="22"/>
        </w:rPr>
        <w:t xml:space="preserve"> 226 [91 až 361] Gt</w:t>
      </w:r>
      <w:r>
        <w:rPr>
          <w:rFonts w:ascii="Calibri" w:hAnsi="Calibri"/>
          <w:bCs/>
          <w:color w:val="000000"/>
          <w:sz w:val="22"/>
          <w:szCs w:val="22"/>
        </w:rPr>
        <w:t>.</w:t>
      </w:r>
      <w:r w:rsidRPr="001140FE">
        <w:rPr>
          <w:rFonts w:ascii="Calibri" w:hAnsi="Calibri"/>
          <w:bCs/>
          <w:color w:val="000000"/>
          <w:sz w:val="22"/>
          <w:szCs w:val="22"/>
        </w:rPr>
        <w:t>rok</w:t>
      </w:r>
      <w:r w:rsidRPr="001140FE">
        <w:rPr>
          <w:rFonts w:ascii="Calibri" w:hAnsi="Calibri"/>
          <w:bCs/>
          <w:color w:val="000000"/>
          <w:sz w:val="22"/>
          <w:szCs w:val="22"/>
          <w:vertAlign w:val="superscript"/>
        </w:rPr>
        <w:t>-1</w:t>
      </w:r>
      <w:r w:rsidRPr="001140FE">
        <w:rPr>
          <w:rFonts w:ascii="Calibri" w:hAnsi="Calibri"/>
          <w:bCs/>
          <w:color w:val="000000"/>
          <w:sz w:val="22"/>
          <w:szCs w:val="22"/>
        </w:rPr>
        <w:t xml:space="preserve"> a v období 1993-2009 </w:t>
      </w:r>
      <w:r w:rsidRPr="00E91C0A">
        <w:rPr>
          <w:rFonts w:ascii="Calibri" w:hAnsi="Calibri"/>
          <w:bCs/>
          <w:i/>
          <w:color w:val="000000"/>
          <w:sz w:val="22"/>
          <w:szCs w:val="22"/>
        </w:rPr>
        <w:t>velmi pravděpodobně</w:t>
      </w:r>
      <w:r w:rsidRPr="001140FE">
        <w:rPr>
          <w:rFonts w:ascii="Calibri" w:hAnsi="Calibri"/>
          <w:bCs/>
          <w:color w:val="000000"/>
          <w:sz w:val="22"/>
          <w:szCs w:val="22"/>
        </w:rPr>
        <w:t xml:space="preserve"> 275 [140 až 410] Gt</w:t>
      </w:r>
      <w:r>
        <w:rPr>
          <w:rFonts w:ascii="Calibri" w:hAnsi="Calibri"/>
          <w:bCs/>
          <w:color w:val="000000"/>
          <w:sz w:val="22"/>
          <w:szCs w:val="22"/>
        </w:rPr>
        <w:t>.</w:t>
      </w:r>
      <w:r w:rsidRPr="001140FE">
        <w:rPr>
          <w:rFonts w:ascii="Calibri" w:hAnsi="Calibri"/>
          <w:bCs/>
          <w:color w:val="000000"/>
          <w:sz w:val="22"/>
          <w:szCs w:val="22"/>
        </w:rPr>
        <w:t>rok</w:t>
      </w:r>
      <w:r w:rsidRPr="001140FE">
        <w:rPr>
          <w:rFonts w:ascii="Calibri" w:hAnsi="Calibri"/>
          <w:bCs/>
          <w:color w:val="000000"/>
          <w:sz w:val="22"/>
          <w:szCs w:val="22"/>
          <w:vertAlign w:val="superscript"/>
        </w:rPr>
        <w:t>-1</w:t>
      </w:r>
      <w:r w:rsidRPr="001140FE">
        <w:rPr>
          <w:rFonts w:ascii="Calibri" w:hAnsi="Calibri"/>
          <w:bCs/>
          <w:color w:val="000000"/>
          <w:sz w:val="22"/>
          <w:szCs w:val="22"/>
        </w:rPr>
        <w:t>.</w:t>
      </w:r>
      <w:r w:rsidRPr="001140FE">
        <w:rPr>
          <w:rStyle w:val="Znakapoznpodarou"/>
          <w:rFonts w:ascii="Calibri" w:hAnsi="Calibri"/>
          <w:bCs/>
          <w:color w:val="000000"/>
          <w:sz w:val="22"/>
          <w:szCs w:val="22"/>
        </w:rPr>
        <w:footnoteReference w:id="10"/>
      </w:r>
      <w:r w:rsidRPr="001140FE">
        <w:rPr>
          <w:rFonts w:ascii="Calibri" w:hAnsi="Calibri"/>
          <w:bCs/>
          <w:color w:val="000000"/>
          <w:sz w:val="22"/>
          <w:szCs w:val="22"/>
        </w:rPr>
        <w:t xml:space="preserve"> {4.3} </w:t>
      </w:r>
    </w:p>
    <w:p w:rsidR="00E35631" w:rsidRPr="001140FE" w:rsidRDefault="00E35631" w:rsidP="00E35631">
      <w:pPr>
        <w:shd w:val="clear" w:color="auto" w:fill="FFFFFF"/>
        <w:spacing w:line="226" w:lineRule="exact"/>
        <w:ind w:left="720" w:right="77"/>
        <w:jc w:val="both"/>
        <w:rPr>
          <w:rFonts w:ascii="Calibri" w:hAnsi="Calibri"/>
          <w:bCs/>
          <w:color w:val="000000"/>
          <w:sz w:val="22"/>
          <w:szCs w:val="22"/>
        </w:rPr>
      </w:pPr>
    </w:p>
    <w:p w:rsidR="00E35631" w:rsidRPr="001140FE" w:rsidRDefault="00E35631" w:rsidP="00E35631">
      <w:pPr>
        <w:numPr>
          <w:ilvl w:val="0"/>
          <w:numId w:val="6"/>
        </w:numPr>
        <w:shd w:val="clear" w:color="auto" w:fill="FFFFFF"/>
        <w:spacing w:line="226" w:lineRule="exact"/>
        <w:ind w:right="77"/>
        <w:jc w:val="both"/>
        <w:rPr>
          <w:rFonts w:ascii="Calibri" w:hAnsi="Calibri"/>
          <w:bCs/>
          <w:color w:val="000000"/>
          <w:sz w:val="22"/>
          <w:szCs w:val="22"/>
        </w:rPr>
      </w:pPr>
      <w:r w:rsidRPr="001140FE">
        <w:rPr>
          <w:rFonts w:ascii="Calibri" w:hAnsi="Calibri"/>
          <w:bCs/>
          <w:color w:val="000000"/>
          <w:sz w:val="22"/>
          <w:szCs w:val="22"/>
        </w:rPr>
        <w:t xml:space="preserve">Průměrná rychlost úbytku ledu z grónského ledového příkrovu se </w:t>
      </w:r>
      <w:r w:rsidRPr="001140FE">
        <w:rPr>
          <w:rFonts w:ascii="Calibri" w:hAnsi="Calibri"/>
          <w:bCs/>
          <w:i/>
          <w:color w:val="000000"/>
          <w:sz w:val="22"/>
          <w:szCs w:val="22"/>
        </w:rPr>
        <w:t>velmi pravděpodobně</w:t>
      </w:r>
      <w:r w:rsidRPr="001140FE">
        <w:rPr>
          <w:rFonts w:ascii="Calibri" w:hAnsi="Calibri"/>
          <w:bCs/>
          <w:color w:val="000000"/>
          <w:sz w:val="22"/>
          <w:szCs w:val="22"/>
        </w:rPr>
        <w:t xml:space="preserve"> významně zvýšila, a to z </w:t>
      </w:r>
      <w:r w:rsidRPr="001140FE">
        <w:rPr>
          <w:rFonts w:ascii="Calibri" w:hAnsi="Calibri"/>
          <w:color w:val="000000"/>
          <w:spacing w:val="2"/>
          <w:sz w:val="22"/>
          <w:szCs w:val="22"/>
        </w:rPr>
        <w:t>34 [-6 až 74] Gt</w:t>
      </w:r>
      <w:r>
        <w:rPr>
          <w:rFonts w:ascii="Calibri" w:hAnsi="Calibri"/>
          <w:color w:val="000000"/>
          <w:spacing w:val="2"/>
          <w:sz w:val="22"/>
          <w:szCs w:val="22"/>
        </w:rPr>
        <w:t>.</w:t>
      </w:r>
      <w:r w:rsidRPr="001140FE">
        <w:rPr>
          <w:rFonts w:ascii="Calibri" w:hAnsi="Calibri"/>
          <w:color w:val="000000"/>
          <w:spacing w:val="2"/>
          <w:sz w:val="22"/>
          <w:szCs w:val="22"/>
        </w:rPr>
        <w:t>rok</w:t>
      </w:r>
      <w:r w:rsidRPr="001140FE">
        <w:rPr>
          <w:rFonts w:ascii="Calibri" w:hAnsi="Calibri"/>
          <w:color w:val="000000"/>
          <w:spacing w:val="2"/>
          <w:sz w:val="22"/>
          <w:szCs w:val="22"/>
          <w:vertAlign w:val="superscript"/>
        </w:rPr>
        <w:t>-1</w:t>
      </w:r>
      <w:r w:rsidRPr="001140FE">
        <w:rPr>
          <w:rFonts w:ascii="Calibri" w:hAnsi="Calibri"/>
          <w:color w:val="000000"/>
          <w:spacing w:val="2"/>
          <w:sz w:val="22"/>
          <w:szCs w:val="22"/>
        </w:rPr>
        <w:t xml:space="preserve"> </w:t>
      </w:r>
      <w:r w:rsidRPr="001140FE">
        <w:rPr>
          <w:rFonts w:ascii="Calibri" w:hAnsi="Calibri"/>
          <w:bCs/>
          <w:color w:val="000000"/>
          <w:sz w:val="22"/>
          <w:szCs w:val="22"/>
        </w:rPr>
        <w:t xml:space="preserve">v období 1992-2001 na </w:t>
      </w:r>
      <w:r w:rsidRPr="001140FE">
        <w:rPr>
          <w:rFonts w:ascii="Calibri" w:hAnsi="Calibri"/>
          <w:color w:val="000000"/>
          <w:spacing w:val="2"/>
          <w:sz w:val="22"/>
          <w:szCs w:val="22"/>
        </w:rPr>
        <w:t>215 [157 až 274] Gt</w:t>
      </w:r>
      <w:r>
        <w:rPr>
          <w:rFonts w:ascii="Calibri" w:hAnsi="Calibri"/>
          <w:color w:val="000000"/>
          <w:spacing w:val="2"/>
          <w:sz w:val="22"/>
          <w:szCs w:val="22"/>
        </w:rPr>
        <w:t>.</w:t>
      </w:r>
      <w:r w:rsidRPr="001140FE">
        <w:rPr>
          <w:rFonts w:ascii="Calibri" w:hAnsi="Calibri"/>
          <w:color w:val="000000"/>
          <w:spacing w:val="2"/>
          <w:sz w:val="22"/>
          <w:szCs w:val="22"/>
        </w:rPr>
        <w:t>rok</w:t>
      </w:r>
      <w:r w:rsidRPr="001140FE">
        <w:rPr>
          <w:rFonts w:ascii="Calibri" w:hAnsi="Calibri"/>
          <w:color w:val="000000"/>
          <w:spacing w:val="2"/>
          <w:sz w:val="22"/>
          <w:szCs w:val="22"/>
          <w:vertAlign w:val="superscript"/>
        </w:rPr>
        <w:t xml:space="preserve">-1 </w:t>
      </w:r>
      <w:r w:rsidRPr="001140FE">
        <w:rPr>
          <w:rFonts w:ascii="Calibri" w:hAnsi="Calibri"/>
          <w:color w:val="000000"/>
          <w:spacing w:val="1"/>
          <w:sz w:val="22"/>
          <w:szCs w:val="22"/>
        </w:rPr>
        <w:t>v období 2002-2011. {4.4}</w:t>
      </w:r>
      <w:r w:rsidRPr="001140FE">
        <w:rPr>
          <w:rFonts w:ascii="Calibri" w:hAnsi="Calibri"/>
          <w:bCs/>
          <w:color w:val="000000"/>
          <w:sz w:val="22"/>
          <w:szCs w:val="22"/>
        </w:rPr>
        <w:t xml:space="preserve"> </w:t>
      </w:r>
    </w:p>
    <w:p w:rsidR="00E35631" w:rsidRPr="001140FE" w:rsidRDefault="00E35631" w:rsidP="00E35631">
      <w:pPr>
        <w:pStyle w:val="Odstavecseseznamem"/>
        <w:rPr>
          <w:rFonts w:ascii="Calibri" w:hAnsi="Calibri"/>
          <w:bCs/>
          <w:color w:val="000000"/>
          <w:sz w:val="22"/>
          <w:szCs w:val="22"/>
        </w:rPr>
      </w:pPr>
    </w:p>
    <w:p w:rsidR="00E35631" w:rsidRPr="00E35631" w:rsidRDefault="00E35631" w:rsidP="00E35631">
      <w:pPr>
        <w:numPr>
          <w:ilvl w:val="0"/>
          <w:numId w:val="6"/>
        </w:numPr>
        <w:shd w:val="clear" w:color="auto" w:fill="FFFFFF"/>
        <w:spacing w:line="226" w:lineRule="exact"/>
        <w:ind w:right="77"/>
        <w:jc w:val="both"/>
        <w:rPr>
          <w:rFonts w:ascii="Calibri" w:hAnsi="Calibri"/>
          <w:bCs/>
          <w:color w:val="000000"/>
          <w:sz w:val="22"/>
          <w:szCs w:val="22"/>
        </w:rPr>
      </w:pPr>
      <w:r w:rsidRPr="001140FE">
        <w:rPr>
          <w:rFonts w:ascii="Calibri" w:hAnsi="Calibri"/>
          <w:bCs/>
          <w:color w:val="000000"/>
          <w:sz w:val="22"/>
          <w:szCs w:val="22"/>
        </w:rPr>
        <w:t xml:space="preserve">Průměrná rychlost úbytku ledu z antarktického ledového příkrovu se </w:t>
      </w:r>
      <w:r w:rsidRPr="001140FE">
        <w:rPr>
          <w:rFonts w:ascii="Calibri" w:hAnsi="Calibri"/>
          <w:bCs/>
          <w:i/>
          <w:color w:val="000000"/>
          <w:sz w:val="22"/>
          <w:szCs w:val="22"/>
        </w:rPr>
        <w:t>pravděpodobně</w:t>
      </w:r>
      <w:r w:rsidRPr="001140FE">
        <w:rPr>
          <w:rFonts w:ascii="Calibri" w:hAnsi="Calibri"/>
          <w:bCs/>
          <w:color w:val="000000"/>
          <w:sz w:val="22"/>
          <w:szCs w:val="22"/>
        </w:rPr>
        <w:t xml:space="preserve"> zvýšila, a to z </w:t>
      </w:r>
      <w:r w:rsidRPr="001140FE">
        <w:rPr>
          <w:rFonts w:ascii="Calibri" w:hAnsi="Calibri"/>
          <w:color w:val="000000"/>
          <w:spacing w:val="2"/>
          <w:sz w:val="22"/>
          <w:szCs w:val="22"/>
        </w:rPr>
        <w:t>30 [-37 až 97] Gt</w:t>
      </w:r>
      <w:r>
        <w:rPr>
          <w:rFonts w:ascii="Calibri" w:hAnsi="Calibri"/>
          <w:color w:val="000000"/>
          <w:spacing w:val="2"/>
          <w:sz w:val="22"/>
          <w:szCs w:val="22"/>
        </w:rPr>
        <w:t>.</w:t>
      </w:r>
      <w:r w:rsidRPr="001140FE">
        <w:rPr>
          <w:rFonts w:ascii="Calibri" w:hAnsi="Calibri"/>
          <w:color w:val="000000"/>
          <w:spacing w:val="2"/>
          <w:sz w:val="22"/>
          <w:szCs w:val="22"/>
        </w:rPr>
        <w:t>rok</w:t>
      </w:r>
      <w:r w:rsidRPr="001140FE">
        <w:rPr>
          <w:rFonts w:ascii="Calibri" w:hAnsi="Calibri"/>
          <w:color w:val="000000"/>
          <w:spacing w:val="2"/>
          <w:sz w:val="22"/>
          <w:szCs w:val="22"/>
          <w:vertAlign w:val="superscript"/>
        </w:rPr>
        <w:t>-1</w:t>
      </w:r>
      <w:r w:rsidRPr="001140FE">
        <w:rPr>
          <w:rFonts w:ascii="Calibri" w:hAnsi="Calibri"/>
          <w:color w:val="000000"/>
          <w:spacing w:val="2"/>
          <w:sz w:val="22"/>
          <w:szCs w:val="22"/>
        </w:rPr>
        <w:t xml:space="preserve"> </w:t>
      </w:r>
      <w:r w:rsidRPr="001140FE">
        <w:rPr>
          <w:rFonts w:ascii="Calibri" w:hAnsi="Calibri"/>
          <w:bCs/>
          <w:color w:val="000000"/>
          <w:sz w:val="22"/>
          <w:szCs w:val="22"/>
        </w:rPr>
        <w:t xml:space="preserve">v období 1992-2001 na </w:t>
      </w:r>
      <w:r w:rsidRPr="001140FE">
        <w:rPr>
          <w:rFonts w:ascii="Calibri" w:hAnsi="Calibri"/>
          <w:color w:val="000000"/>
          <w:spacing w:val="2"/>
          <w:sz w:val="22"/>
          <w:szCs w:val="22"/>
        </w:rPr>
        <w:t>147 [72 až 221] Gt</w:t>
      </w:r>
      <w:r>
        <w:rPr>
          <w:rFonts w:ascii="Calibri" w:hAnsi="Calibri"/>
          <w:color w:val="000000"/>
          <w:spacing w:val="2"/>
          <w:sz w:val="22"/>
          <w:szCs w:val="22"/>
        </w:rPr>
        <w:t>.</w:t>
      </w:r>
      <w:r w:rsidRPr="001140FE">
        <w:rPr>
          <w:rFonts w:ascii="Calibri" w:hAnsi="Calibri"/>
          <w:color w:val="000000"/>
          <w:spacing w:val="2"/>
          <w:sz w:val="22"/>
          <w:szCs w:val="22"/>
        </w:rPr>
        <w:t>rok</w:t>
      </w:r>
      <w:r w:rsidRPr="001140FE">
        <w:rPr>
          <w:rFonts w:ascii="Calibri" w:hAnsi="Calibri"/>
          <w:color w:val="000000"/>
          <w:spacing w:val="2"/>
          <w:sz w:val="22"/>
          <w:szCs w:val="22"/>
          <w:vertAlign w:val="superscript"/>
        </w:rPr>
        <w:t xml:space="preserve">-1 </w:t>
      </w:r>
      <w:r w:rsidRPr="001140FE">
        <w:rPr>
          <w:rFonts w:ascii="Calibri" w:hAnsi="Calibri"/>
          <w:color w:val="000000"/>
          <w:spacing w:val="1"/>
          <w:sz w:val="22"/>
          <w:szCs w:val="22"/>
        </w:rPr>
        <w:t xml:space="preserve">v období 2002-2011. Existuje </w:t>
      </w:r>
      <w:r w:rsidRPr="001140FE">
        <w:rPr>
          <w:rFonts w:ascii="Calibri" w:hAnsi="Calibri"/>
          <w:i/>
          <w:color w:val="000000"/>
          <w:spacing w:val="1"/>
          <w:sz w:val="22"/>
          <w:szCs w:val="22"/>
        </w:rPr>
        <w:t xml:space="preserve">velmi vysoká </w:t>
      </w:r>
      <w:r>
        <w:rPr>
          <w:rFonts w:ascii="Calibri" w:hAnsi="Calibri"/>
          <w:i/>
          <w:color w:val="000000"/>
          <w:spacing w:val="1"/>
          <w:sz w:val="22"/>
          <w:szCs w:val="22"/>
        </w:rPr>
        <w:t>spolehlivost</w:t>
      </w:r>
      <w:r w:rsidRPr="001140FE">
        <w:rPr>
          <w:rFonts w:ascii="Calibri" w:hAnsi="Calibri"/>
          <w:color w:val="000000"/>
          <w:spacing w:val="1"/>
          <w:sz w:val="22"/>
          <w:szCs w:val="22"/>
        </w:rPr>
        <w:t>, že tyto úbytky pocházejí zejména ze severního Antarktického poloostrova a sektoru Amundsenova moře v západní</w:t>
      </w:r>
      <w:r>
        <w:rPr>
          <w:rFonts w:ascii="Calibri" w:hAnsi="Calibri"/>
          <w:color w:val="000000"/>
          <w:spacing w:val="1"/>
          <w:sz w:val="22"/>
          <w:szCs w:val="22"/>
        </w:rPr>
        <w:t>m</w:t>
      </w:r>
      <w:r w:rsidRPr="001140FE">
        <w:rPr>
          <w:rFonts w:ascii="Calibri" w:hAnsi="Calibri"/>
          <w:color w:val="000000"/>
          <w:spacing w:val="1"/>
          <w:sz w:val="22"/>
          <w:szCs w:val="22"/>
        </w:rPr>
        <w:t xml:space="preserve"> Antarktickém oceánu. {4.4}</w:t>
      </w:r>
    </w:p>
    <w:p w:rsidR="00E35631" w:rsidRDefault="00E35631" w:rsidP="00E35631">
      <w:pPr>
        <w:pStyle w:val="Odstavecseseznamem"/>
        <w:rPr>
          <w:rFonts w:ascii="Calibri" w:hAnsi="Calibri"/>
          <w:bCs/>
          <w:color w:val="000000"/>
          <w:sz w:val="22"/>
          <w:szCs w:val="22"/>
        </w:rPr>
      </w:pPr>
    </w:p>
    <w:p w:rsidR="00E35631" w:rsidRPr="001140FE" w:rsidRDefault="00E35631" w:rsidP="00E35631">
      <w:pPr>
        <w:numPr>
          <w:ilvl w:val="0"/>
          <w:numId w:val="6"/>
        </w:numPr>
        <w:shd w:val="clear" w:color="auto" w:fill="FFFFFF"/>
        <w:spacing w:line="250" w:lineRule="exact"/>
        <w:ind w:right="86"/>
        <w:jc w:val="both"/>
        <w:rPr>
          <w:rFonts w:ascii="Calibri" w:hAnsi="Calibri"/>
          <w:sz w:val="22"/>
          <w:szCs w:val="22"/>
        </w:rPr>
      </w:pPr>
      <w:r>
        <w:rPr>
          <w:rFonts w:ascii="Calibri" w:hAnsi="Calibri"/>
          <w:color w:val="000000"/>
          <w:sz w:val="22"/>
          <w:szCs w:val="22"/>
        </w:rPr>
        <w:t xml:space="preserve">Průměrný roční </w:t>
      </w:r>
      <w:r w:rsidRPr="001140FE">
        <w:rPr>
          <w:rFonts w:ascii="Calibri" w:hAnsi="Calibri"/>
          <w:color w:val="000000"/>
          <w:sz w:val="22"/>
          <w:szCs w:val="22"/>
        </w:rPr>
        <w:t xml:space="preserve">rozsah arktického mořského ledu v období 1979-2012 klesal rychlostí, která byla </w:t>
      </w:r>
      <w:r w:rsidRPr="001140FE">
        <w:rPr>
          <w:rFonts w:ascii="Calibri" w:hAnsi="Calibri"/>
          <w:i/>
          <w:color w:val="000000"/>
          <w:sz w:val="22"/>
          <w:szCs w:val="22"/>
        </w:rPr>
        <w:t>velmi pravděpodobně</w:t>
      </w:r>
      <w:r w:rsidRPr="001140FE">
        <w:rPr>
          <w:rFonts w:ascii="Calibri" w:hAnsi="Calibri"/>
          <w:color w:val="000000"/>
          <w:sz w:val="22"/>
          <w:szCs w:val="22"/>
        </w:rPr>
        <w:t xml:space="preserve"> v rozsahu 3,5 až 4,1 % za dekádu (rozsah 0,45 až 0,51 milionu km</w:t>
      </w:r>
      <w:r w:rsidRPr="001140FE">
        <w:rPr>
          <w:rFonts w:ascii="Calibri" w:hAnsi="Calibri"/>
          <w:color w:val="000000"/>
          <w:sz w:val="22"/>
          <w:szCs w:val="22"/>
          <w:vertAlign w:val="superscript"/>
        </w:rPr>
        <w:t>2</w:t>
      </w:r>
      <w:r w:rsidRPr="001140FE">
        <w:rPr>
          <w:rFonts w:ascii="Calibri" w:hAnsi="Calibri"/>
          <w:color w:val="000000"/>
          <w:sz w:val="22"/>
          <w:szCs w:val="22"/>
        </w:rPr>
        <w:t xml:space="preserve"> za dekádu) a u letního minima mořského ledu pak </w:t>
      </w:r>
      <w:r w:rsidRPr="001140FE">
        <w:rPr>
          <w:rFonts w:ascii="Calibri" w:hAnsi="Calibri"/>
          <w:i/>
          <w:color w:val="000000"/>
          <w:sz w:val="22"/>
          <w:szCs w:val="22"/>
        </w:rPr>
        <w:t xml:space="preserve">velmi pravděpodobně </w:t>
      </w:r>
      <w:r w:rsidRPr="001140FE">
        <w:rPr>
          <w:rFonts w:ascii="Calibri" w:hAnsi="Calibri"/>
          <w:color w:val="000000"/>
          <w:sz w:val="22"/>
          <w:szCs w:val="22"/>
        </w:rPr>
        <w:t>v rozsahu 9,4 až 13,6 % za dekádu (rozsah 0,73 až 1,07 milionu km</w:t>
      </w:r>
      <w:r w:rsidRPr="001140FE">
        <w:rPr>
          <w:rFonts w:ascii="Calibri" w:hAnsi="Calibri"/>
          <w:color w:val="000000"/>
          <w:sz w:val="22"/>
          <w:szCs w:val="22"/>
          <w:vertAlign w:val="superscript"/>
        </w:rPr>
        <w:t>2</w:t>
      </w:r>
      <w:r w:rsidRPr="001140FE">
        <w:rPr>
          <w:rFonts w:ascii="Calibri" w:hAnsi="Calibri"/>
          <w:color w:val="000000"/>
          <w:sz w:val="22"/>
          <w:szCs w:val="22"/>
        </w:rPr>
        <w:t xml:space="preserve"> za dekádu) (</w:t>
      </w:r>
      <w:r>
        <w:rPr>
          <w:rFonts w:ascii="Calibri" w:hAnsi="Calibri"/>
          <w:color w:val="000000"/>
          <w:sz w:val="22"/>
          <w:szCs w:val="22"/>
        </w:rPr>
        <w:t>trvalý</w:t>
      </w:r>
      <w:r w:rsidRPr="001140FE">
        <w:rPr>
          <w:rFonts w:ascii="Calibri" w:hAnsi="Calibri"/>
          <w:color w:val="000000"/>
          <w:sz w:val="22"/>
          <w:szCs w:val="22"/>
        </w:rPr>
        <w:t xml:space="preserve"> mořský led). Průměrný pokles desetiletého </w:t>
      </w:r>
      <w:r>
        <w:rPr>
          <w:rFonts w:ascii="Calibri" w:hAnsi="Calibri"/>
          <w:color w:val="000000"/>
          <w:sz w:val="22"/>
          <w:szCs w:val="22"/>
        </w:rPr>
        <w:t>průměrného</w:t>
      </w:r>
      <w:r w:rsidRPr="001140FE">
        <w:rPr>
          <w:rFonts w:ascii="Calibri" w:hAnsi="Calibri"/>
          <w:color w:val="000000"/>
          <w:sz w:val="22"/>
          <w:szCs w:val="22"/>
        </w:rPr>
        <w:t xml:space="preserve"> rozsahu arktického mořského ledu byl nejrychlejší v létě (</w:t>
      </w:r>
      <w:r w:rsidRPr="001140FE">
        <w:rPr>
          <w:rFonts w:ascii="Calibri" w:hAnsi="Calibri"/>
          <w:i/>
          <w:color w:val="000000"/>
          <w:sz w:val="22"/>
          <w:szCs w:val="22"/>
        </w:rPr>
        <w:t xml:space="preserve">vysoká </w:t>
      </w:r>
      <w:r>
        <w:rPr>
          <w:rFonts w:ascii="Calibri" w:hAnsi="Calibri"/>
          <w:i/>
          <w:color w:val="000000"/>
          <w:sz w:val="22"/>
          <w:szCs w:val="22"/>
        </w:rPr>
        <w:t>spolehlivost</w:t>
      </w:r>
      <w:r w:rsidRPr="001140FE">
        <w:rPr>
          <w:rFonts w:ascii="Calibri" w:hAnsi="Calibri"/>
          <w:color w:val="000000"/>
          <w:sz w:val="22"/>
          <w:szCs w:val="22"/>
        </w:rPr>
        <w:t>); p</w:t>
      </w:r>
      <w:r w:rsidR="00B42E0F">
        <w:rPr>
          <w:rFonts w:ascii="Calibri" w:hAnsi="Calibri"/>
          <w:color w:val="000000"/>
          <w:sz w:val="22"/>
          <w:szCs w:val="22"/>
        </w:rPr>
        <w:t>lošný</w:t>
      </w:r>
      <w:r w:rsidRPr="001140FE">
        <w:rPr>
          <w:rFonts w:ascii="Calibri" w:hAnsi="Calibri"/>
          <w:color w:val="000000"/>
          <w:sz w:val="22"/>
          <w:szCs w:val="22"/>
        </w:rPr>
        <w:t xml:space="preserve"> rozsah klesal ve všech ročních obdobích a od roku 1979 v každé po sobě jdoucí dekádě (</w:t>
      </w:r>
      <w:r w:rsidRPr="001140FE">
        <w:rPr>
          <w:rFonts w:ascii="Calibri" w:hAnsi="Calibri"/>
          <w:i/>
          <w:color w:val="000000"/>
          <w:sz w:val="22"/>
          <w:szCs w:val="22"/>
        </w:rPr>
        <w:t xml:space="preserve">vysoká </w:t>
      </w:r>
      <w:r>
        <w:rPr>
          <w:rFonts w:ascii="Calibri" w:hAnsi="Calibri"/>
          <w:i/>
          <w:color w:val="000000"/>
          <w:sz w:val="22"/>
          <w:szCs w:val="22"/>
        </w:rPr>
        <w:t>spolehlivost</w:t>
      </w:r>
      <w:r w:rsidRPr="001140FE">
        <w:rPr>
          <w:rFonts w:ascii="Calibri" w:hAnsi="Calibri"/>
          <w:color w:val="000000"/>
          <w:sz w:val="22"/>
          <w:szCs w:val="22"/>
        </w:rPr>
        <w:t xml:space="preserve">) (viz obr. SPM.3). Na základě rekonstrukcí lze se </w:t>
      </w:r>
      <w:r w:rsidRPr="001140FE">
        <w:rPr>
          <w:rFonts w:ascii="Calibri" w:hAnsi="Calibri"/>
          <w:i/>
          <w:color w:val="000000"/>
          <w:sz w:val="22"/>
          <w:szCs w:val="22"/>
        </w:rPr>
        <w:t xml:space="preserve">střední </w:t>
      </w:r>
      <w:r>
        <w:rPr>
          <w:rFonts w:ascii="Calibri" w:hAnsi="Calibri"/>
          <w:i/>
          <w:color w:val="000000"/>
          <w:sz w:val="22"/>
          <w:szCs w:val="22"/>
        </w:rPr>
        <w:t>spolehlivostí</w:t>
      </w:r>
      <w:r w:rsidRPr="001140FE">
        <w:rPr>
          <w:rFonts w:ascii="Calibri" w:hAnsi="Calibri"/>
          <w:color w:val="000000"/>
          <w:sz w:val="22"/>
          <w:szCs w:val="22"/>
        </w:rPr>
        <w:t xml:space="preserve"> tvrdit, že v posledních třech dekádách byl ústup arktického mořského ledu v létě bezprecedentní a teploty povrchu </w:t>
      </w:r>
      <w:r>
        <w:rPr>
          <w:rFonts w:ascii="Calibri" w:hAnsi="Calibri"/>
          <w:color w:val="000000"/>
          <w:sz w:val="22"/>
          <w:szCs w:val="22"/>
        </w:rPr>
        <w:t>oceánu</w:t>
      </w:r>
      <w:r w:rsidRPr="001140FE">
        <w:rPr>
          <w:rFonts w:ascii="Calibri" w:hAnsi="Calibri"/>
          <w:color w:val="000000"/>
          <w:sz w:val="22"/>
          <w:szCs w:val="22"/>
        </w:rPr>
        <w:t xml:space="preserve"> byly </w:t>
      </w:r>
      <w:r>
        <w:rPr>
          <w:rFonts w:ascii="Calibri" w:hAnsi="Calibri"/>
          <w:color w:val="000000"/>
          <w:sz w:val="22"/>
          <w:szCs w:val="22"/>
        </w:rPr>
        <w:t>mimořádně</w:t>
      </w:r>
      <w:r w:rsidRPr="001140FE">
        <w:rPr>
          <w:rFonts w:ascii="Calibri" w:hAnsi="Calibri"/>
          <w:color w:val="000000"/>
          <w:sz w:val="22"/>
          <w:szCs w:val="22"/>
        </w:rPr>
        <w:t xml:space="preserve"> vysoké v porovnání s posledními minimálně 1450 lety. {4.2, 5.5} </w:t>
      </w:r>
    </w:p>
    <w:p w:rsidR="00E35631" w:rsidRPr="001140FE" w:rsidRDefault="00E35631" w:rsidP="00E35631">
      <w:pPr>
        <w:numPr>
          <w:ilvl w:val="0"/>
          <w:numId w:val="6"/>
        </w:numPr>
        <w:shd w:val="clear" w:color="auto" w:fill="FFFFFF"/>
        <w:spacing w:before="250" w:line="250" w:lineRule="exact"/>
        <w:ind w:right="86"/>
        <w:jc w:val="both"/>
        <w:rPr>
          <w:rFonts w:ascii="Calibri" w:hAnsi="Calibri"/>
          <w:sz w:val="22"/>
          <w:szCs w:val="22"/>
        </w:rPr>
      </w:pPr>
      <w:r w:rsidRPr="001140FE">
        <w:rPr>
          <w:rFonts w:ascii="Calibri" w:hAnsi="Calibri"/>
          <w:color w:val="000000"/>
          <w:sz w:val="22"/>
          <w:szCs w:val="22"/>
        </w:rPr>
        <w:t xml:space="preserve">Je </w:t>
      </w:r>
      <w:r w:rsidRPr="001140FE">
        <w:rPr>
          <w:rFonts w:ascii="Calibri" w:hAnsi="Calibri"/>
          <w:i/>
          <w:color w:val="000000"/>
          <w:sz w:val="22"/>
          <w:szCs w:val="22"/>
        </w:rPr>
        <w:t>velmi pravděpodobné</w:t>
      </w:r>
      <w:r w:rsidRPr="001140FE">
        <w:rPr>
          <w:rFonts w:ascii="Calibri" w:hAnsi="Calibri"/>
          <w:color w:val="000000"/>
          <w:sz w:val="22"/>
          <w:szCs w:val="22"/>
        </w:rPr>
        <w:t xml:space="preserve">, že se </w:t>
      </w:r>
      <w:r>
        <w:rPr>
          <w:rFonts w:ascii="Calibri" w:hAnsi="Calibri"/>
          <w:color w:val="000000"/>
          <w:sz w:val="22"/>
          <w:szCs w:val="22"/>
        </w:rPr>
        <w:t>průměrný</w:t>
      </w:r>
      <w:r w:rsidRPr="001140FE">
        <w:rPr>
          <w:rFonts w:ascii="Calibri" w:hAnsi="Calibri"/>
          <w:color w:val="000000"/>
          <w:sz w:val="22"/>
          <w:szCs w:val="22"/>
        </w:rPr>
        <w:t xml:space="preserve"> roční rozsah antarktického mořského ledu v období let 1979 až 2012 zvyšoval rychlostí 1,2 až 1,8 % za dekádu (rozsah 0,13 až 0,20 milionu km</w:t>
      </w:r>
      <w:r w:rsidRPr="001140FE">
        <w:rPr>
          <w:rFonts w:ascii="Calibri" w:hAnsi="Calibri"/>
          <w:color w:val="000000"/>
          <w:sz w:val="22"/>
          <w:szCs w:val="22"/>
          <w:vertAlign w:val="superscript"/>
        </w:rPr>
        <w:t>2</w:t>
      </w:r>
      <w:r w:rsidRPr="001140FE">
        <w:rPr>
          <w:rFonts w:ascii="Calibri" w:hAnsi="Calibri"/>
          <w:color w:val="000000"/>
          <w:sz w:val="22"/>
          <w:szCs w:val="22"/>
        </w:rPr>
        <w:t xml:space="preserve"> za dekádu). S </w:t>
      </w:r>
      <w:r w:rsidRPr="001140FE">
        <w:rPr>
          <w:rFonts w:ascii="Calibri" w:hAnsi="Calibri"/>
          <w:i/>
          <w:color w:val="000000"/>
          <w:sz w:val="22"/>
          <w:szCs w:val="22"/>
        </w:rPr>
        <w:t xml:space="preserve">vysokou </w:t>
      </w:r>
      <w:r>
        <w:rPr>
          <w:rFonts w:ascii="Calibri" w:hAnsi="Calibri"/>
          <w:i/>
          <w:color w:val="000000"/>
          <w:sz w:val="22"/>
          <w:szCs w:val="22"/>
        </w:rPr>
        <w:t>spolehlivostí</w:t>
      </w:r>
      <w:r w:rsidRPr="001140FE">
        <w:rPr>
          <w:rFonts w:ascii="Calibri" w:hAnsi="Calibri"/>
          <w:color w:val="000000"/>
          <w:sz w:val="22"/>
          <w:szCs w:val="22"/>
        </w:rPr>
        <w:t xml:space="preserve"> lze tvrdit, že existují velké regionální rozdíly této roční rychlosti, přičemž rozsah se v některých oblastech zvyšuje, zatímco v jiných snižuje. {4.2} </w:t>
      </w:r>
    </w:p>
    <w:p w:rsidR="00E35631" w:rsidRPr="001140FE" w:rsidRDefault="00E35631" w:rsidP="00E35631">
      <w:pPr>
        <w:numPr>
          <w:ilvl w:val="0"/>
          <w:numId w:val="6"/>
        </w:numPr>
        <w:shd w:val="clear" w:color="auto" w:fill="FFFFFF"/>
        <w:spacing w:before="250" w:line="250" w:lineRule="exact"/>
        <w:ind w:right="86"/>
        <w:jc w:val="both"/>
        <w:rPr>
          <w:rFonts w:ascii="Calibri" w:hAnsi="Calibri"/>
          <w:sz w:val="22"/>
          <w:szCs w:val="22"/>
        </w:rPr>
      </w:pPr>
      <w:r w:rsidRPr="001140FE">
        <w:rPr>
          <w:rFonts w:ascii="Calibri" w:hAnsi="Calibri"/>
          <w:color w:val="000000"/>
          <w:sz w:val="22"/>
          <w:szCs w:val="22"/>
        </w:rPr>
        <w:t xml:space="preserve">Existuje </w:t>
      </w:r>
      <w:r w:rsidRPr="001140FE">
        <w:rPr>
          <w:rFonts w:ascii="Calibri" w:hAnsi="Calibri"/>
          <w:i/>
          <w:color w:val="000000"/>
          <w:sz w:val="22"/>
          <w:szCs w:val="22"/>
        </w:rPr>
        <w:t xml:space="preserve">velmi vysoká </w:t>
      </w:r>
      <w:r>
        <w:rPr>
          <w:rFonts w:ascii="Calibri" w:hAnsi="Calibri"/>
          <w:i/>
          <w:color w:val="000000"/>
          <w:sz w:val="22"/>
          <w:szCs w:val="22"/>
        </w:rPr>
        <w:t>spolehlivost</w:t>
      </w:r>
      <w:r w:rsidRPr="001140FE">
        <w:rPr>
          <w:rFonts w:ascii="Calibri" w:hAnsi="Calibri"/>
          <w:color w:val="000000"/>
          <w:sz w:val="22"/>
          <w:szCs w:val="22"/>
        </w:rPr>
        <w:t xml:space="preserve">, že se rozsah sněhové pokrývky na severní polokouli od poloviny 20. století snížil (viz obr. SPM.3). Rozsah sněhové pokrývky na severní polokouli se v období let 1967-2012 snižoval o 1,6 </w:t>
      </w:r>
      <w:r w:rsidRPr="001140FE">
        <w:rPr>
          <w:rFonts w:ascii="Calibri" w:hAnsi="Calibri"/>
          <w:color w:val="000000"/>
          <w:spacing w:val="1"/>
          <w:sz w:val="22"/>
          <w:szCs w:val="22"/>
        </w:rPr>
        <w:t>[0,8 až 2,4] % za dekádu v březnu a dubnu a o 11,7 [8,8 až 14,6] % za dekádu v červnu. V tomto období nevykazoval rozsah sněhové pokrývky na severní polokouli v žádném měsíci statisticky významné zvýšení.</w:t>
      </w:r>
      <w:r w:rsidRPr="001140FE">
        <w:rPr>
          <w:rFonts w:ascii="Calibri" w:hAnsi="Calibri"/>
          <w:color w:val="000000"/>
          <w:sz w:val="22"/>
          <w:szCs w:val="22"/>
        </w:rPr>
        <w:t xml:space="preserve"> {4.5}</w:t>
      </w:r>
    </w:p>
    <w:p w:rsidR="00E35631" w:rsidRPr="001140FE" w:rsidRDefault="00E35631" w:rsidP="00E35631">
      <w:pPr>
        <w:numPr>
          <w:ilvl w:val="0"/>
          <w:numId w:val="6"/>
        </w:numPr>
        <w:shd w:val="clear" w:color="auto" w:fill="FFFFFF"/>
        <w:spacing w:before="250" w:line="250" w:lineRule="exact"/>
        <w:ind w:right="86"/>
        <w:jc w:val="both"/>
        <w:rPr>
          <w:rFonts w:ascii="Calibri" w:hAnsi="Calibri"/>
          <w:sz w:val="22"/>
          <w:szCs w:val="22"/>
        </w:rPr>
      </w:pPr>
      <w:r w:rsidRPr="001140FE">
        <w:rPr>
          <w:rFonts w:ascii="Calibri" w:hAnsi="Calibri"/>
          <w:color w:val="000000"/>
          <w:sz w:val="22"/>
          <w:szCs w:val="22"/>
        </w:rPr>
        <w:t xml:space="preserve">Existuje </w:t>
      </w:r>
      <w:r w:rsidRPr="001140FE">
        <w:rPr>
          <w:rFonts w:ascii="Calibri" w:hAnsi="Calibri"/>
          <w:i/>
          <w:color w:val="000000"/>
          <w:sz w:val="22"/>
          <w:szCs w:val="22"/>
        </w:rPr>
        <w:t xml:space="preserve">vysoká </w:t>
      </w:r>
      <w:r>
        <w:rPr>
          <w:rFonts w:ascii="Calibri" w:hAnsi="Calibri"/>
          <w:i/>
          <w:color w:val="000000"/>
          <w:sz w:val="22"/>
          <w:szCs w:val="22"/>
        </w:rPr>
        <w:t>spolehlivost</w:t>
      </w:r>
      <w:r w:rsidRPr="001140FE">
        <w:rPr>
          <w:rFonts w:ascii="Calibri" w:hAnsi="Calibri"/>
          <w:color w:val="000000"/>
          <w:sz w:val="22"/>
          <w:szCs w:val="22"/>
        </w:rPr>
        <w:t xml:space="preserve">, že se od začátku osmdesátých let 20. století teploty </w:t>
      </w:r>
      <w:r>
        <w:rPr>
          <w:rFonts w:ascii="Calibri" w:hAnsi="Calibri"/>
          <w:color w:val="000000"/>
          <w:sz w:val="22"/>
          <w:szCs w:val="22"/>
        </w:rPr>
        <w:t>permafrostu (</w:t>
      </w:r>
      <w:r w:rsidRPr="001140FE">
        <w:rPr>
          <w:rFonts w:ascii="Calibri" w:hAnsi="Calibri"/>
          <w:color w:val="000000"/>
          <w:sz w:val="22"/>
          <w:szCs w:val="22"/>
        </w:rPr>
        <w:t>trvale zmrzlé půdy</w:t>
      </w:r>
      <w:r>
        <w:rPr>
          <w:rFonts w:ascii="Calibri" w:hAnsi="Calibri"/>
          <w:color w:val="000000"/>
          <w:sz w:val="22"/>
          <w:szCs w:val="22"/>
        </w:rPr>
        <w:t>)</w:t>
      </w:r>
      <w:r w:rsidRPr="001140FE">
        <w:rPr>
          <w:rFonts w:ascii="Calibri" w:hAnsi="Calibri"/>
          <w:color w:val="000000"/>
          <w:sz w:val="22"/>
          <w:szCs w:val="22"/>
        </w:rPr>
        <w:t xml:space="preserve"> ve většině oblastí zvýšily. Pozorované oteplení činilo až 3°C v částech severní Aljašky (začátek osmdesátých let 20. století až polovina prvního desetiletí 21. století) a až 2°C v některých severních evropských částech Ruska (1971-2010). V těchto oblastech byl v období let 1975-2005 pozorován značný úbytek tloušťky a plošného rozsahu permafrostu (</w:t>
      </w:r>
      <w:r w:rsidRPr="001140FE">
        <w:rPr>
          <w:rFonts w:ascii="Calibri" w:hAnsi="Calibri"/>
          <w:i/>
          <w:color w:val="000000"/>
          <w:sz w:val="22"/>
          <w:szCs w:val="22"/>
        </w:rPr>
        <w:t xml:space="preserve">střední </w:t>
      </w:r>
      <w:r>
        <w:rPr>
          <w:rFonts w:ascii="Calibri" w:hAnsi="Calibri"/>
          <w:i/>
          <w:color w:val="000000"/>
          <w:sz w:val="22"/>
          <w:szCs w:val="22"/>
        </w:rPr>
        <w:t>spolehlivost</w:t>
      </w:r>
      <w:r w:rsidRPr="001140FE">
        <w:rPr>
          <w:rFonts w:ascii="Calibri" w:hAnsi="Calibri"/>
          <w:color w:val="000000"/>
          <w:sz w:val="22"/>
          <w:szCs w:val="22"/>
        </w:rPr>
        <w:t>).</w:t>
      </w:r>
      <w:r w:rsidRPr="001140FE">
        <w:rPr>
          <w:rFonts w:ascii="Calibri" w:hAnsi="Calibri"/>
          <w:i/>
          <w:iCs/>
          <w:color w:val="000000"/>
          <w:spacing w:val="1"/>
          <w:sz w:val="22"/>
          <w:szCs w:val="22"/>
        </w:rPr>
        <w:t xml:space="preserve"> </w:t>
      </w:r>
      <w:r w:rsidRPr="001140FE">
        <w:rPr>
          <w:rFonts w:ascii="Calibri" w:hAnsi="Calibri"/>
          <w:color w:val="000000"/>
          <w:spacing w:val="1"/>
          <w:sz w:val="22"/>
          <w:szCs w:val="22"/>
        </w:rPr>
        <w:t>{4.7}</w:t>
      </w:r>
    </w:p>
    <w:p w:rsidR="00E35631" w:rsidRPr="001140FE" w:rsidRDefault="00E35631" w:rsidP="00E35631">
      <w:pPr>
        <w:numPr>
          <w:ilvl w:val="0"/>
          <w:numId w:val="6"/>
        </w:numPr>
        <w:shd w:val="clear" w:color="auto" w:fill="FFFFFF"/>
        <w:spacing w:before="250" w:line="250" w:lineRule="exact"/>
        <w:ind w:right="86"/>
        <w:jc w:val="both"/>
        <w:rPr>
          <w:rFonts w:ascii="Calibri" w:hAnsi="Calibri"/>
          <w:sz w:val="22"/>
          <w:szCs w:val="22"/>
        </w:rPr>
      </w:pPr>
      <w:r w:rsidRPr="001140FE">
        <w:rPr>
          <w:rFonts w:ascii="Calibri" w:hAnsi="Calibri"/>
          <w:color w:val="000000"/>
          <w:spacing w:val="1"/>
          <w:sz w:val="22"/>
          <w:szCs w:val="22"/>
        </w:rPr>
        <w:t xml:space="preserve">Řada různých </w:t>
      </w:r>
      <w:r>
        <w:rPr>
          <w:rFonts w:ascii="Calibri" w:hAnsi="Calibri"/>
          <w:color w:val="000000"/>
          <w:spacing w:val="1"/>
          <w:sz w:val="22"/>
          <w:szCs w:val="22"/>
        </w:rPr>
        <w:t>výstupů</w:t>
      </w:r>
      <w:r w:rsidRPr="001140FE">
        <w:rPr>
          <w:rFonts w:ascii="Calibri" w:hAnsi="Calibri"/>
          <w:color w:val="000000"/>
          <w:spacing w:val="1"/>
          <w:sz w:val="22"/>
          <w:szCs w:val="22"/>
        </w:rPr>
        <w:t xml:space="preserve"> naznačuje, že od poloviny 20. století došlo k velmi výraznému oteplení arktických oblastí. </w:t>
      </w:r>
      <w:r w:rsidRPr="001140FE">
        <w:rPr>
          <w:rFonts w:ascii="Calibri" w:hAnsi="Calibri"/>
          <w:color w:val="000000"/>
          <w:spacing w:val="-1"/>
          <w:sz w:val="22"/>
          <w:szCs w:val="22"/>
        </w:rPr>
        <w:t>{</w:t>
      </w:r>
      <w:r>
        <w:rPr>
          <w:rFonts w:ascii="Calibri" w:hAnsi="Calibri"/>
          <w:color w:val="000000"/>
          <w:spacing w:val="-1"/>
          <w:sz w:val="22"/>
          <w:szCs w:val="22"/>
        </w:rPr>
        <w:t>box</w:t>
      </w:r>
      <w:r w:rsidRPr="001140FE">
        <w:rPr>
          <w:rFonts w:ascii="Calibri" w:hAnsi="Calibri"/>
          <w:color w:val="000000"/>
          <w:spacing w:val="-1"/>
          <w:sz w:val="22"/>
          <w:szCs w:val="22"/>
        </w:rPr>
        <w:t xml:space="preserve"> 5.1, 10.3}</w:t>
      </w:r>
    </w:p>
    <w:p w:rsidR="00E35631" w:rsidRDefault="00E35631" w:rsidP="00E35631">
      <w:pPr>
        <w:shd w:val="clear" w:color="auto" w:fill="FFFFFF"/>
        <w:spacing w:line="226" w:lineRule="exact"/>
        <w:ind w:left="360" w:right="77"/>
        <w:jc w:val="both"/>
        <w:rPr>
          <w:rFonts w:ascii="Calibri" w:hAnsi="Calibri"/>
          <w:bCs/>
          <w:color w:val="000000"/>
          <w:sz w:val="22"/>
          <w:szCs w:val="22"/>
        </w:rPr>
      </w:pPr>
    </w:p>
    <w:p w:rsidR="00E35631" w:rsidRDefault="00E35631" w:rsidP="00E35631">
      <w:pPr>
        <w:shd w:val="clear" w:color="auto" w:fill="FFFFFF"/>
        <w:spacing w:line="226" w:lineRule="exact"/>
        <w:ind w:left="360" w:right="77"/>
        <w:jc w:val="both"/>
        <w:rPr>
          <w:rFonts w:ascii="Calibri" w:hAnsi="Calibri"/>
          <w:bCs/>
          <w:color w:val="000000"/>
          <w:sz w:val="22"/>
          <w:szCs w:val="22"/>
        </w:rPr>
      </w:pPr>
    </w:p>
    <w:p w:rsidR="00E35631" w:rsidRDefault="00E35631" w:rsidP="00E35631">
      <w:pPr>
        <w:ind w:left="426" w:hanging="360"/>
        <w:jc w:val="center"/>
        <w:rPr>
          <w:b/>
          <w:sz w:val="28"/>
          <w:szCs w:val="28"/>
        </w:rPr>
      </w:pPr>
      <w:r>
        <w:rPr>
          <w:rFonts w:ascii="Calibri" w:hAnsi="Calibri"/>
          <w:bCs/>
          <w:noProof/>
          <w:color w:val="000000"/>
          <w:sz w:val="22"/>
          <w:szCs w:val="22"/>
        </w:rPr>
        <w:lastRenderedPageBreak/>
        <w:drawing>
          <wp:inline distT="0" distB="0" distL="0" distR="0">
            <wp:extent cx="3276600" cy="7775448"/>
            <wp:effectExtent l="19050" t="0" r="0" b="0"/>
            <wp:docPr id="4" name="Obrázek 2" descr="SPM Fig3_final-C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M Fig3_final-CZ.jpg"/>
                    <pic:cNvPicPr/>
                  </pic:nvPicPr>
                  <pic:blipFill>
                    <a:blip r:embed="rId15" cstate="print"/>
                    <a:stretch>
                      <a:fillRect/>
                    </a:stretch>
                  </pic:blipFill>
                  <pic:spPr>
                    <a:xfrm>
                      <a:off x="0" y="0"/>
                      <a:ext cx="3276600" cy="7775448"/>
                    </a:xfrm>
                    <a:prstGeom prst="rect">
                      <a:avLst/>
                    </a:prstGeom>
                  </pic:spPr>
                </pic:pic>
              </a:graphicData>
            </a:graphic>
          </wp:inline>
        </w:drawing>
      </w:r>
    </w:p>
    <w:p w:rsidR="006B4472" w:rsidRDefault="006B4472" w:rsidP="006B4472">
      <w:pPr>
        <w:shd w:val="clear" w:color="auto" w:fill="FFFFFF"/>
        <w:tabs>
          <w:tab w:val="left" w:leader="underscore" w:pos="6658"/>
        </w:tabs>
        <w:ind w:left="5"/>
        <w:jc w:val="both"/>
        <w:rPr>
          <w:b/>
          <w:bCs/>
          <w:color w:val="000000"/>
          <w:spacing w:val="-10"/>
          <w:sz w:val="16"/>
          <w:szCs w:val="16"/>
        </w:rPr>
      </w:pPr>
    </w:p>
    <w:p w:rsidR="006A086B" w:rsidRDefault="00C3040A" w:rsidP="006A086B">
      <w:pPr>
        <w:shd w:val="clear" w:color="auto" w:fill="FFFFFF"/>
        <w:tabs>
          <w:tab w:val="left" w:leader="underscore" w:pos="6658"/>
        </w:tabs>
        <w:ind w:left="5"/>
        <w:jc w:val="both"/>
        <w:rPr>
          <w:color w:val="000000"/>
          <w:spacing w:val="-8"/>
          <w:sz w:val="16"/>
          <w:szCs w:val="16"/>
        </w:rPr>
      </w:pPr>
      <w:r>
        <w:rPr>
          <w:noProof/>
          <w:sz w:val="16"/>
          <w:szCs w:val="16"/>
        </w:rPr>
        <mc:AlternateContent>
          <mc:Choice Requires="wps">
            <w:drawing>
              <wp:anchor distT="0" distB="0" distL="114300" distR="114300" simplePos="0" relativeHeight="251667456" behindDoc="0" locked="0" layoutInCell="0" allowOverlap="1">
                <wp:simplePos x="0" y="0"/>
                <wp:positionH relativeFrom="margin">
                  <wp:posOffset>-82550</wp:posOffset>
                </wp:positionH>
                <wp:positionV relativeFrom="paragraph">
                  <wp:posOffset>6842760</wp:posOffset>
                </wp:positionV>
                <wp:extent cx="0" cy="511810"/>
                <wp:effectExtent l="12700" t="13335" r="6350" b="8255"/>
                <wp:wrapNone/>
                <wp:docPr id="30" name="Lin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11810"/>
                        </a:xfrm>
                        <a:prstGeom prst="line">
                          <a:avLst/>
                        </a:prstGeom>
                        <a:noFill/>
                        <a:ln w="88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8" o:spid="_x0000_s1026" style="position:absolute;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6.5pt,538.8pt" to="-6.5pt,57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" o:allowincell="f" strokeweight=".7pt">
                <w10:wrap anchorx="margin"/>
              </v:line>
            </w:pict>
          </mc:Fallback>
        </mc:AlternateContent>
      </w:r>
      <w:r>
        <w:rPr>
          <w:noProof/>
          <w:sz w:val="16"/>
          <w:szCs w:val="16"/>
        </w:rPr>
        <mc:AlternateContent>
          <mc:Choice Requires="wps">
            <w:drawing>
              <wp:anchor distT="0" distB="0" distL="114300" distR="114300" simplePos="0" relativeHeight="251668480" behindDoc="0" locked="0" layoutInCell="0" allowOverlap="1">
                <wp:simplePos x="0" y="0"/>
                <wp:positionH relativeFrom="margin">
                  <wp:posOffset>6178550</wp:posOffset>
                </wp:positionH>
                <wp:positionV relativeFrom="paragraph">
                  <wp:posOffset>6842760</wp:posOffset>
                </wp:positionV>
                <wp:extent cx="0" cy="511810"/>
                <wp:effectExtent l="15875" t="13335" r="12700" b="8255"/>
                <wp:wrapNone/>
                <wp:docPr id="29"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11810"/>
                        </a:xfrm>
                        <a:prstGeom prst="line">
                          <a:avLst/>
                        </a:prstGeom>
                        <a:noFill/>
                        <a:ln w="1524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9" o:spid="_x0000_s1026" style="position:absolute;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486.5pt,538.8pt" to="486.5pt,57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" o:allowincell="f" strokeweight="1.2pt">
                <w10:wrap anchorx="margin"/>
              </v:line>
            </w:pict>
          </mc:Fallback>
        </mc:AlternateContent>
      </w:r>
      <w:r w:rsidR="006B4472" w:rsidRPr="006B4472">
        <w:rPr>
          <w:b/>
          <w:bCs/>
          <w:color w:val="000000"/>
          <w:spacing w:val="-10"/>
          <w:sz w:val="16"/>
          <w:szCs w:val="16"/>
        </w:rPr>
        <w:t>Obr</w:t>
      </w:r>
      <w:r w:rsidR="006B4472">
        <w:rPr>
          <w:b/>
          <w:bCs/>
          <w:color w:val="000000"/>
          <w:spacing w:val="-10"/>
          <w:sz w:val="16"/>
          <w:szCs w:val="16"/>
        </w:rPr>
        <w:t>.</w:t>
      </w:r>
      <w:r w:rsidR="006B4472" w:rsidRPr="006B4472">
        <w:rPr>
          <w:b/>
          <w:bCs/>
          <w:color w:val="000000"/>
          <w:spacing w:val="-10"/>
          <w:sz w:val="16"/>
          <w:szCs w:val="16"/>
        </w:rPr>
        <w:t xml:space="preserve"> SPM.3: </w:t>
      </w:r>
      <w:r w:rsidR="006B4472" w:rsidRPr="006B4472">
        <w:rPr>
          <w:bCs/>
          <w:color w:val="000000"/>
          <w:spacing w:val="-10"/>
          <w:sz w:val="16"/>
          <w:szCs w:val="16"/>
        </w:rPr>
        <w:t xml:space="preserve"> Často pozorované ukazatele měnícího se globálního klimatu: (a) Průměrný rozsah sněhové pokrývky na severní polokouli v březnu-dubnu (jaro), (b) průměrný rozsah arktického mořského ledu v červenci-srpnu-září (léto), (c) změna průměrného globálního obsahu tepla ve svrchních vrstvách oceánu (0-700 m) zarovnané k období 2006-2010, vzhledem ke středním hodnotám ze všech databází za rok 1971, (d) globální průměrná hladina oceánu oproti průměrným hodnotám nejdelšího nepřetržitého datového souboru za období 1900-1905, přičemž všechny datové soubory byly zarovnány, aby měly v roce 1993, prvním roce dat z družicové altimetrie, stejnou hodnotu. Všechny časové řady (barvy odlišují různé datové soubory) ukazují roční hodnoty. Pokud byla hodnocena neurčitost, je znázorněna barevným stínováním. Seznam všech datových souborů je uveden v Dodatku k Technical Summary. </w:t>
      </w:r>
      <w:r w:rsidR="006B4472" w:rsidRPr="006B4472">
        <w:rPr>
          <w:color w:val="000000"/>
          <w:spacing w:val="-8"/>
          <w:sz w:val="16"/>
          <w:szCs w:val="16"/>
        </w:rPr>
        <w:t>{obr. 3.2, 3.13, 4.19 a 4.3; FAQ 2.1, obr. 2; obr. TS.1}</w:t>
      </w:r>
    </w:p>
    <w:p w:rsidR="006A086B" w:rsidRDefault="006A086B" w:rsidP="006A086B">
      <w:pPr>
        <w:shd w:val="clear" w:color="auto" w:fill="FFFFFF"/>
        <w:tabs>
          <w:tab w:val="left" w:leader="underscore" w:pos="6658"/>
        </w:tabs>
        <w:ind w:left="5"/>
        <w:jc w:val="both"/>
        <w:rPr>
          <w:b/>
          <w:color w:val="000000"/>
          <w:spacing w:val="-8"/>
          <w:sz w:val="28"/>
          <w:szCs w:val="28"/>
        </w:rPr>
      </w:pPr>
      <w:r w:rsidRPr="006A086B">
        <w:rPr>
          <w:b/>
          <w:color w:val="000000"/>
          <w:spacing w:val="-8"/>
          <w:sz w:val="28"/>
          <w:szCs w:val="28"/>
        </w:rPr>
        <w:lastRenderedPageBreak/>
        <w:t>B.4 Výška hladiny oceánu</w:t>
      </w:r>
    </w:p>
    <w:p w:rsidR="006A086B" w:rsidRPr="006A086B" w:rsidRDefault="00C3040A" w:rsidP="006A086B">
      <w:pPr>
        <w:shd w:val="clear" w:color="auto" w:fill="FFFFFF"/>
        <w:tabs>
          <w:tab w:val="left" w:leader="underscore" w:pos="6658"/>
        </w:tabs>
        <w:ind w:left="5"/>
        <w:jc w:val="both"/>
        <w:rPr>
          <w:color w:val="000000"/>
          <w:spacing w:val="-8"/>
          <w:sz w:val="16"/>
          <w:szCs w:val="16"/>
        </w:rPr>
      </w:pPr>
      <w:r>
        <w:rPr>
          <w:b/>
          <w:noProof/>
          <w:sz w:val="28"/>
          <w:szCs w:val="28"/>
        </w:rPr>
        <mc:AlternateContent>
          <mc:Choice Requires="wps">
            <w:drawing>
              <wp:anchor distT="0" distB="0" distL="114300" distR="114300" simplePos="0" relativeHeight="251669504" behindDoc="0" locked="0" layoutInCell="1" allowOverlap="1">
                <wp:simplePos x="0" y="0"/>
                <wp:positionH relativeFrom="column">
                  <wp:posOffset>19050</wp:posOffset>
                </wp:positionH>
                <wp:positionV relativeFrom="paragraph">
                  <wp:posOffset>49530</wp:posOffset>
                </wp:positionV>
                <wp:extent cx="6114415" cy="539115"/>
                <wp:effectExtent l="9525" t="11430" r="10160" b="11430"/>
                <wp:wrapNone/>
                <wp:docPr id="28"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4415" cy="539115"/>
                        </a:xfrm>
                        <a:prstGeom prst="rect">
                          <a:avLst/>
                        </a:prstGeom>
                        <a:solidFill>
                          <a:schemeClr val="accent6">
                            <a:lumMod val="40000"/>
                            <a:lumOff val="60000"/>
                          </a:schemeClr>
                        </a:solidFill>
                        <a:ln w="9525">
                          <a:solidFill>
                            <a:schemeClr val="accent6">
                              <a:lumMod val="40000"/>
                              <a:lumOff val="60000"/>
                            </a:schemeClr>
                          </a:solidFill>
                          <a:miter lim="800000"/>
                          <a:headEnd/>
                          <a:tailEnd/>
                        </a:ln>
                      </wps:spPr>
                      <wps:txbx>
                        <w:txbxContent>
                          <w:p w:rsidR="00C907E7" w:rsidRPr="006A086B" w:rsidRDefault="00C907E7" w:rsidP="006A086B">
                            <w:pPr>
                              <w:jc w:val="both"/>
                              <w:rPr>
                                <w:b/>
                                <w:color w:val="984806" w:themeColor="accent6" w:themeShade="80"/>
                                <w:sz w:val="16"/>
                                <w:szCs w:val="16"/>
                              </w:rPr>
                            </w:pPr>
                            <w:r w:rsidRPr="006A086B">
                              <w:rPr>
                                <w:b/>
                                <w:color w:val="984806" w:themeColor="accent6" w:themeShade="80"/>
                              </w:rPr>
                              <w:t>Rychlost vzestupu výšky hladiny oceánu od poloviny 19. století byla vyšší než průměrná rychlost v průběhu předchozích dvou tisíciletí (</w:t>
                            </w:r>
                            <w:r w:rsidRPr="006A086B">
                              <w:rPr>
                                <w:b/>
                                <w:i/>
                                <w:color w:val="984806" w:themeColor="accent6" w:themeShade="80"/>
                              </w:rPr>
                              <w:t>vysoká spolehlivost</w:t>
                            </w:r>
                            <w:r w:rsidRPr="006A086B">
                              <w:rPr>
                                <w:b/>
                                <w:color w:val="984806" w:themeColor="accent6" w:themeShade="80"/>
                              </w:rPr>
                              <w:t xml:space="preserve">), V období let 1901-2010 vzrostla globální střední výška hladiny oceánu  o 0,19 [0,17 až 0,21] m (viz obr. SPM.3). </w:t>
                            </w:r>
                            <w:r w:rsidRPr="006A086B">
                              <w:rPr>
                                <w:b/>
                                <w:color w:val="984806" w:themeColor="accent6" w:themeShade="80"/>
                                <w:sz w:val="16"/>
                                <w:szCs w:val="16"/>
                              </w:rPr>
                              <w:t>{3.7, 5.6, 13.2}</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0" o:spid="_x0000_s1030" type="#_x0000_t202" style="position:absolute;left:0;text-align:left;margin-left:1.5pt;margin-top:3.9pt;width:481.45pt;height:42.45pt;z-index:2516695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" fillcolor="#fbd4b4 [1305]" strokecolor="#fbd4b4 [1305]">
                <v:textbox style="mso-fit-shape-to-text:t">
                  <w:txbxContent>
                    <w:p w:rsidR="00C907E7" w:rsidRPr="006A086B" w:rsidRDefault="00C907E7" w:rsidP="006A086B">
                      <w:pPr>
                        <w:jc w:val="both"/>
                        <w:rPr>
                          <w:b/>
                          <w:color w:val="984806" w:themeColor="accent6" w:themeShade="80"/>
                          <w:sz w:val="16"/>
                          <w:szCs w:val="16"/>
                        </w:rPr>
                      </w:pPr>
                      <w:r w:rsidRPr="006A086B">
                        <w:rPr>
                          <w:b/>
                          <w:color w:val="984806" w:themeColor="accent6" w:themeShade="80"/>
                        </w:rPr>
                        <w:t>Rychlost vzestupu výšky hladiny oceánu od poloviny 19. století byla vyšší než průměrná rychlost v průběhu předchozích dvou tisíciletí (</w:t>
                      </w:r>
                      <w:r w:rsidRPr="006A086B">
                        <w:rPr>
                          <w:b/>
                          <w:i/>
                          <w:color w:val="984806" w:themeColor="accent6" w:themeShade="80"/>
                        </w:rPr>
                        <w:t>vysoká spolehlivost</w:t>
                      </w:r>
                      <w:r w:rsidRPr="006A086B">
                        <w:rPr>
                          <w:b/>
                          <w:color w:val="984806" w:themeColor="accent6" w:themeShade="80"/>
                        </w:rPr>
                        <w:t xml:space="preserve">), V období let 1901-2010 vzrostla globální střední výška hladiny oceánu  o 0,19 [0,17 až 0,21] m (viz obr. SPM.3). </w:t>
                      </w:r>
                      <w:r w:rsidRPr="006A086B">
                        <w:rPr>
                          <w:b/>
                          <w:color w:val="984806" w:themeColor="accent6" w:themeShade="80"/>
                          <w:sz w:val="16"/>
                          <w:szCs w:val="16"/>
                        </w:rPr>
                        <w:t>{3.7, 5.6, 13.2}</w:t>
                      </w:r>
                    </w:p>
                  </w:txbxContent>
                </v:textbox>
              </v:shape>
            </w:pict>
          </mc:Fallback>
        </mc:AlternateContent>
      </w:r>
    </w:p>
    <w:p w:rsidR="006A086B" w:rsidRDefault="006A086B" w:rsidP="00E35631">
      <w:pPr>
        <w:ind w:left="426" w:hanging="360"/>
        <w:jc w:val="center"/>
        <w:rPr>
          <w:b/>
          <w:sz w:val="28"/>
          <w:szCs w:val="28"/>
        </w:rPr>
      </w:pPr>
    </w:p>
    <w:p w:rsidR="006A086B" w:rsidRDefault="006A086B" w:rsidP="00E35631">
      <w:pPr>
        <w:ind w:left="426" w:hanging="360"/>
        <w:jc w:val="center"/>
        <w:rPr>
          <w:b/>
          <w:sz w:val="28"/>
          <w:szCs w:val="28"/>
        </w:rPr>
      </w:pPr>
    </w:p>
    <w:p w:rsidR="006B4472" w:rsidRDefault="006B4472" w:rsidP="00E35631">
      <w:pPr>
        <w:ind w:left="426" w:hanging="360"/>
        <w:jc w:val="center"/>
        <w:rPr>
          <w:b/>
          <w:sz w:val="28"/>
          <w:szCs w:val="28"/>
        </w:rPr>
      </w:pPr>
    </w:p>
    <w:p w:rsidR="006A086B" w:rsidRPr="006A086B" w:rsidRDefault="006A086B" w:rsidP="006A086B">
      <w:pPr>
        <w:numPr>
          <w:ilvl w:val="0"/>
          <w:numId w:val="6"/>
        </w:numPr>
        <w:shd w:val="clear" w:color="auto" w:fill="FFFFFF"/>
        <w:spacing w:line="226" w:lineRule="exact"/>
        <w:ind w:left="284" w:right="77" w:hanging="284"/>
        <w:jc w:val="both"/>
        <w:rPr>
          <w:bCs/>
          <w:color w:val="000000"/>
        </w:rPr>
      </w:pPr>
      <w:r w:rsidRPr="006A086B">
        <w:rPr>
          <w:bCs/>
          <w:color w:val="000000"/>
        </w:rPr>
        <w:t>Nepřímá (proxy) data i údaje z měřících přístrojů ukazují na přelomu 19. a 20. století přechod od relativně malé průměrné rychlosti vzestupu za předchozí dvě tisíciletí k vyšší rychlosti vzestupu (</w:t>
      </w:r>
      <w:r w:rsidRPr="006A086B">
        <w:rPr>
          <w:bCs/>
          <w:i/>
          <w:color w:val="000000"/>
        </w:rPr>
        <w:t>vysoká spolehlivost</w:t>
      </w:r>
      <w:r w:rsidRPr="006A086B">
        <w:rPr>
          <w:bCs/>
          <w:color w:val="000000"/>
        </w:rPr>
        <w:t xml:space="preserve">). Je </w:t>
      </w:r>
      <w:r w:rsidRPr="006A086B">
        <w:rPr>
          <w:bCs/>
          <w:i/>
          <w:color w:val="000000"/>
        </w:rPr>
        <w:t>pravděpodobné</w:t>
      </w:r>
      <w:r w:rsidRPr="006A086B">
        <w:rPr>
          <w:bCs/>
          <w:color w:val="000000"/>
        </w:rPr>
        <w:t xml:space="preserve">, že se rychlost vzestupu globální střední výšky hladiny oceánu od počátku 20. století stále zvyšuje. {3.7, 5.6, 13.2} </w:t>
      </w:r>
    </w:p>
    <w:p w:rsidR="006A086B" w:rsidRPr="006A086B" w:rsidRDefault="006A086B" w:rsidP="006A086B">
      <w:pPr>
        <w:shd w:val="clear" w:color="auto" w:fill="FFFFFF"/>
        <w:spacing w:line="226" w:lineRule="exact"/>
        <w:ind w:left="284" w:right="77" w:hanging="284"/>
        <w:jc w:val="both"/>
        <w:rPr>
          <w:bCs/>
          <w:color w:val="000000"/>
        </w:rPr>
      </w:pPr>
    </w:p>
    <w:p w:rsidR="006A086B" w:rsidRPr="006A086B" w:rsidRDefault="006A086B" w:rsidP="006A086B">
      <w:pPr>
        <w:numPr>
          <w:ilvl w:val="0"/>
          <w:numId w:val="6"/>
        </w:numPr>
        <w:shd w:val="clear" w:color="auto" w:fill="FFFFFF"/>
        <w:spacing w:line="226" w:lineRule="exact"/>
        <w:ind w:left="284" w:right="77" w:hanging="284"/>
        <w:jc w:val="both"/>
        <w:rPr>
          <w:bCs/>
          <w:color w:val="000000"/>
        </w:rPr>
      </w:pPr>
      <w:r w:rsidRPr="006A086B">
        <w:rPr>
          <w:bCs/>
          <w:color w:val="000000"/>
        </w:rPr>
        <w:t xml:space="preserve">Je </w:t>
      </w:r>
      <w:r w:rsidRPr="006A086B">
        <w:rPr>
          <w:bCs/>
          <w:i/>
          <w:color w:val="000000"/>
        </w:rPr>
        <w:t>velmi pravděpodobné</w:t>
      </w:r>
      <w:r w:rsidRPr="006A086B">
        <w:rPr>
          <w:bCs/>
          <w:color w:val="000000"/>
        </w:rPr>
        <w:t xml:space="preserve">, že průměrná rychlost zvyšování globální průměrné hladiny oceánu byla v období let 1901 až 2010 </w:t>
      </w:r>
      <w:r w:rsidRPr="006A086B">
        <w:rPr>
          <w:color w:val="000000"/>
        </w:rPr>
        <w:t>1,7 [1,5 až 1,9] mm.rok</w:t>
      </w:r>
      <w:r w:rsidRPr="006A086B">
        <w:rPr>
          <w:color w:val="000000"/>
          <w:vertAlign w:val="superscript"/>
        </w:rPr>
        <w:t>-1</w:t>
      </w:r>
      <w:r w:rsidRPr="006A086B">
        <w:rPr>
          <w:color w:val="000000"/>
        </w:rPr>
        <w:t xml:space="preserve">, v období let 1971 až 2010 </w:t>
      </w:r>
      <w:r w:rsidRPr="006A086B">
        <w:rPr>
          <w:color w:val="000000"/>
          <w:spacing w:val="-2"/>
        </w:rPr>
        <w:t>2,0 [1,7 až 2,3] mm.</w:t>
      </w:r>
      <w:r w:rsidRPr="006A086B">
        <w:rPr>
          <w:color w:val="000000"/>
        </w:rPr>
        <w:t>rok</w:t>
      </w:r>
      <w:r w:rsidRPr="006A086B">
        <w:rPr>
          <w:color w:val="000000"/>
          <w:vertAlign w:val="superscript"/>
        </w:rPr>
        <w:t>-1</w:t>
      </w:r>
      <w:r w:rsidRPr="006A086B">
        <w:rPr>
          <w:color w:val="000000"/>
        </w:rPr>
        <w:t xml:space="preserve"> </w:t>
      </w:r>
      <w:r w:rsidRPr="006A086B">
        <w:rPr>
          <w:color w:val="000000"/>
          <w:spacing w:val="-2"/>
        </w:rPr>
        <w:t xml:space="preserve">a v období let 1993 až 2010 3,2 [2,8 až 3,6] </w:t>
      </w:r>
      <w:r w:rsidRPr="006A086B">
        <w:rPr>
          <w:color w:val="000000"/>
          <w:spacing w:val="2"/>
        </w:rPr>
        <w:t>mm.</w:t>
      </w:r>
      <w:r w:rsidRPr="006A086B">
        <w:rPr>
          <w:color w:val="000000"/>
        </w:rPr>
        <w:t>rok</w:t>
      </w:r>
      <w:r w:rsidRPr="006A086B">
        <w:rPr>
          <w:color w:val="000000"/>
          <w:vertAlign w:val="superscript"/>
        </w:rPr>
        <w:t>-1</w:t>
      </w:r>
      <w:r w:rsidRPr="006A086B">
        <w:rPr>
          <w:color w:val="000000"/>
        </w:rPr>
        <w:t xml:space="preserve">. Údaje z přílivových vodočtů a z družicových měření shodně ukazují vyšší rychlost v posledním období. Je </w:t>
      </w:r>
      <w:r w:rsidRPr="006A086B">
        <w:rPr>
          <w:i/>
          <w:color w:val="000000"/>
        </w:rPr>
        <w:t>pravděpodobné</w:t>
      </w:r>
      <w:r w:rsidRPr="006A086B">
        <w:rPr>
          <w:color w:val="000000"/>
        </w:rPr>
        <w:t xml:space="preserve">, že hladina oceánu stoupala podobně vysokou rychlostí také v období let 1920 až 1950. {3.7} </w:t>
      </w:r>
    </w:p>
    <w:p w:rsidR="006A086B" w:rsidRPr="006A086B" w:rsidRDefault="006A086B" w:rsidP="006A086B">
      <w:pPr>
        <w:pStyle w:val="Odstavecseseznamem"/>
        <w:ind w:left="284" w:hanging="284"/>
        <w:rPr>
          <w:bCs/>
          <w:color w:val="000000"/>
        </w:rPr>
      </w:pPr>
    </w:p>
    <w:p w:rsidR="006A086B" w:rsidRPr="006A086B" w:rsidRDefault="006A086B" w:rsidP="006A086B">
      <w:pPr>
        <w:numPr>
          <w:ilvl w:val="0"/>
          <w:numId w:val="6"/>
        </w:numPr>
        <w:shd w:val="clear" w:color="auto" w:fill="FFFFFF"/>
        <w:spacing w:line="226" w:lineRule="exact"/>
        <w:ind w:left="284" w:right="77" w:hanging="284"/>
        <w:jc w:val="both"/>
        <w:rPr>
          <w:bCs/>
          <w:color w:val="000000"/>
        </w:rPr>
      </w:pPr>
      <w:r w:rsidRPr="006A086B">
        <w:rPr>
          <w:bCs/>
          <w:color w:val="000000"/>
        </w:rPr>
        <w:t>Od začátku sedmdesátých let 20. století vysvětluje ztráta objemu ledovců a tepelná expanze oceánů v důsledku oteplení dohromady zhruba 75 % pozorovaného vzestupu globální střední výšky hladiny oceánu (</w:t>
      </w:r>
      <w:r w:rsidRPr="006A086B">
        <w:rPr>
          <w:bCs/>
          <w:i/>
          <w:color w:val="000000"/>
        </w:rPr>
        <w:t>vysoká spolehlivost</w:t>
      </w:r>
      <w:r w:rsidRPr="006A086B">
        <w:rPr>
          <w:bCs/>
          <w:color w:val="000000"/>
        </w:rPr>
        <w:t xml:space="preserve">). V období let 1993-2010 odpovídá (s </w:t>
      </w:r>
      <w:r w:rsidRPr="006A086B">
        <w:rPr>
          <w:bCs/>
          <w:i/>
          <w:color w:val="000000"/>
        </w:rPr>
        <w:t>vysokou spolehlivostí</w:t>
      </w:r>
      <w:r w:rsidRPr="006A086B">
        <w:rPr>
          <w:bCs/>
          <w:color w:val="000000"/>
        </w:rPr>
        <w:t>) vzestup globální průměrné výšky hladiny oceánu součtu pozorovaných příspěvků z tepelné expanze oceánu v důsledku oteplení (1,1 [0,8 až 1,4] mm.rok</w:t>
      </w:r>
      <w:r w:rsidRPr="006A086B">
        <w:rPr>
          <w:bCs/>
          <w:color w:val="000000"/>
          <w:vertAlign w:val="superscript"/>
        </w:rPr>
        <w:t>-1</w:t>
      </w:r>
      <w:r w:rsidRPr="006A086B">
        <w:rPr>
          <w:bCs/>
          <w:color w:val="000000"/>
        </w:rPr>
        <w:t>), ze změn pevninských ledovců (0,76 [0,39 až 1,13] mm.rok</w:t>
      </w:r>
      <w:r w:rsidRPr="006A086B">
        <w:rPr>
          <w:bCs/>
          <w:color w:val="000000"/>
          <w:vertAlign w:val="superscript"/>
        </w:rPr>
        <w:t>-1</w:t>
      </w:r>
      <w:r w:rsidRPr="006A086B">
        <w:rPr>
          <w:bCs/>
          <w:color w:val="000000"/>
        </w:rPr>
        <w:t>), grónského ledového příkrovu (0,33 [0,25 až 0,41] mm.rok</w:t>
      </w:r>
      <w:r w:rsidRPr="006A086B">
        <w:rPr>
          <w:bCs/>
          <w:color w:val="000000"/>
          <w:vertAlign w:val="superscript"/>
        </w:rPr>
        <w:t>-1</w:t>
      </w:r>
      <w:r w:rsidRPr="006A086B">
        <w:rPr>
          <w:bCs/>
          <w:color w:val="000000"/>
        </w:rPr>
        <w:t>), antarktického ledového příkrovu (0,27 [0,16 až 0,38] mm.rok</w:t>
      </w:r>
      <w:r w:rsidRPr="006A086B">
        <w:rPr>
          <w:bCs/>
          <w:color w:val="000000"/>
          <w:vertAlign w:val="superscript"/>
        </w:rPr>
        <w:t>-1</w:t>
      </w:r>
      <w:r w:rsidRPr="006A086B">
        <w:rPr>
          <w:bCs/>
          <w:color w:val="000000"/>
        </w:rPr>
        <w:t>) a zásob pevninské vody (0,38 [0,26 až 0,49] mm.rok</w:t>
      </w:r>
      <w:r w:rsidRPr="006A086B">
        <w:rPr>
          <w:bCs/>
          <w:color w:val="000000"/>
          <w:vertAlign w:val="superscript"/>
        </w:rPr>
        <w:t>-1</w:t>
      </w:r>
      <w:r w:rsidRPr="006A086B">
        <w:rPr>
          <w:bCs/>
          <w:color w:val="000000"/>
        </w:rPr>
        <w:t>). Suma těchto příspěvků činí 2,8 [2,3 až 3,4] mm.rok</w:t>
      </w:r>
      <w:r w:rsidRPr="006A086B">
        <w:rPr>
          <w:bCs/>
          <w:color w:val="000000"/>
          <w:vertAlign w:val="superscript"/>
        </w:rPr>
        <w:t>-1</w:t>
      </w:r>
      <w:r w:rsidRPr="006A086B">
        <w:rPr>
          <w:bCs/>
          <w:color w:val="000000"/>
        </w:rPr>
        <w:t xml:space="preserve">. {13.3} </w:t>
      </w:r>
    </w:p>
    <w:p w:rsidR="006A086B" w:rsidRPr="006A086B" w:rsidRDefault="006A086B" w:rsidP="006A086B">
      <w:pPr>
        <w:pStyle w:val="Odstavecseseznamem"/>
        <w:ind w:left="284" w:hanging="284"/>
        <w:rPr>
          <w:bCs/>
          <w:color w:val="000000"/>
        </w:rPr>
      </w:pPr>
    </w:p>
    <w:p w:rsidR="006A086B" w:rsidRDefault="006A086B" w:rsidP="006A086B">
      <w:pPr>
        <w:numPr>
          <w:ilvl w:val="0"/>
          <w:numId w:val="6"/>
        </w:numPr>
        <w:shd w:val="clear" w:color="auto" w:fill="FFFFFF"/>
        <w:spacing w:line="226" w:lineRule="exact"/>
        <w:ind w:left="284" w:right="77" w:hanging="284"/>
        <w:jc w:val="both"/>
        <w:rPr>
          <w:bCs/>
          <w:color w:val="000000"/>
        </w:rPr>
      </w:pPr>
      <w:r w:rsidRPr="006A086B">
        <w:rPr>
          <w:bCs/>
          <w:color w:val="000000"/>
        </w:rPr>
        <w:t xml:space="preserve">Existuje </w:t>
      </w:r>
      <w:r w:rsidRPr="006A086B">
        <w:rPr>
          <w:bCs/>
          <w:i/>
          <w:color w:val="000000"/>
        </w:rPr>
        <w:t>velmi vysoká spolehlivost</w:t>
      </w:r>
      <w:r w:rsidRPr="006A086B">
        <w:rPr>
          <w:bCs/>
          <w:color w:val="000000"/>
        </w:rPr>
        <w:t>, že maximální globální střední výška hladiny oceánu v poslední době meziledové (před 129 000 až 116 000 lety) byla po několik tisíc let alespoň o 5 m vyšší, než je v současnosti, a s </w:t>
      </w:r>
      <w:r w:rsidRPr="006A086B">
        <w:rPr>
          <w:bCs/>
          <w:i/>
          <w:color w:val="000000"/>
        </w:rPr>
        <w:t>vysokou spolehlivostí</w:t>
      </w:r>
      <w:r w:rsidRPr="006A086B">
        <w:rPr>
          <w:bCs/>
          <w:color w:val="000000"/>
        </w:rPr>
        <w:t xml:space="preserve"> nepřesáhla současnou výšku o více než 10 m. V průběhu poslední doby meziledové grónský ledový příkrov</w:t>
      </w:r>
      <w:r w:rsidRPr="006A086B">
        <w:rPr>
          <w:bCs/>
          <w:i/>
          <w:color w:val="000000"/>
        </w:rPr>
        <w:t xml:space="preserve"> velmi pravděpodobně</w:t>
      </w:r>
      <w:r w:rsidRPr="006A086B">
        <w:rPr>
          <w:bCs/>
          <w:color w:val="000000"/>
        </w:rPr>
        <w:t xml:space="preserve"> přispěl k vyšší globální střední výšce hladiny oceánu o 1,4 m až 4,3 m, což se </w:t>
      </w:r>
      <w:r w:rsidRPr="006A086B">
        <w:rPr>
          <w:bCs/>
          <w:i/>
          <w:color w:val="000000"/>
        </w:rPr>
        <w:t>střední spolehlivostí</w:t>
      </w:r>
      <w:r w:rsidRPr="006A086B">
        <w:rPr>
          <w:bCs/>
          <w:color w:val="000000"/>
        </w:rPr>
        <w:t xml:space="preserve"> naznačuje další příspěvek od antarktického ledového příkrovu. K této změně hladiny oceánu došlo v kontextu působení různých orbitálních vlivů a při teplotě při povrchu ve vysokých </w:t>
      </w:r>
      <w:r w:rsidRPr="006A086B">
        <w:rPr>
          <w:color w:val="000000"/>
        </w:rPr>
        <w:t>zeměpisných šířkách</w:t>
      </w:r>
      <w:r w:rsidRPr="006A086B">
        <w:rPr>
          <w:bCs/>
          <w:color w:val="000000"/>
        </w:rPr>
        <w:t>, která byla po několik tisíc let v průměru minimálně o 2°C vyšší než dnes (</w:t>
      </w:r>
      <w:r w:rsidRPr="006A086B">
        <w:rPr>
          <w:bCs/>
          <w:i/>
          <w:color w:val="000000"/>
        </w:rPr>
        <w:t>vysoká spolehlivost</w:t>
      </w:r>
      <w:r w:rsidRPr="006A086B">
        <w:rPr>
          <w:bCs/>
          <w:color w:val="000000"/>
        </w:rPr>
        <w:t>). {5.3, 5.6}</w:t>
      </w:r>
    </w:p>
    <w:p w:rsidR="006A086B" w:rsidRDefault="006A086B" w:rsidP="006A086B">
      <w:pPr>
        <w:pStyle w:val="Odstavecseseznamem"/>
        <w:rPr>
          <w:bCs/>
          <w:color w:val="000000"/>
        </w:rPr>
      </w:pPr>
    </w:p>
    <w:p w:rsidR="006A086B" w:rsidRDefault="006A086B" w:rsidP="006A086B">
      <w:pPr>
        <w:pStyle w:val="Odstavecseseznamem"/>
        <w:rPr>
          <w:bCs/>
          <w:color w:val="000000"/>
        </w:rPr>
      </w:pPr>
    </w:p>
    <w:p w:rsidR="006A086B" w:rsidRDefault="006A086B" w:rsidP="006A086B">
      <w:pPr>
        <w:shd w:val="clear" w:color="auto" w:fill="FFFFFF"/>
        <w:spacing w:line="276" w:lineRule="auto"/>
        <w:ind w:right="77"/>
        <w:jc w:val="both"/>
        <w:rPr>
          <w:bCs/>
          <w:color w:val="000000"/>
        </w:rPr>
      </w:pPr>
      <w:r>
        <w:rPr>
          <w:b/>
          <w:bCs/>
          <w:color w:val="000000"/>
          <w:sz w:val="28"/>
          <w:szCs w:val="28"/>
        </w:rPr>
        <w:t>B.5 Uhlíkový cyklus a další biogeochemické cykly</w:t>
      </w:r>
      <w:r w:rsidRPr="006A086B">
        <w:rPr>
          <w:bCs/>
          <w:color w:val="000000"/>
        </w:rPr>
        <w:t xml:space="preserve"> </w:t>
      </w:r>
    </w:p>
    <w:p w:rsidR="006A086B" w:rsidRDefault="00C3040A" w:rsidP="006A086B">
      <w:pPr>
        <w:shd w:val="clear" w:color="auto" w:fill="FFFFFF"/>
        <w:spacing w:line="276" w:lineRule="auto"/>
        <w:ind w:right="77"/>
        <w:jc w:val="both"/>
        <w:rPr>
          <w:bCs/>
          <w:color w:val="000000"/>
        </w:rPr>
      </w:pPr>
      <w:r>
        <w:rPr>
          <w:bCs/>
          <w:noProof/>
          <w:color w:val="000000"/>
        </w:rPr>
        <mc:AlternateContent>
          <mc:Choice Requires="wps">
            <w:drawing>
              <wp:anchor distT="0" distB="0" distL="114300" distR="114300" simplePos="0" relativeHeight="251670528" behindDoc="0" locked="0" layoutInCell="1" allowOverlap="1">
                <wp:simplePos x="0" y="0"/>
                <wp:positionH relativeFrom="column">
                  <wp:posOffset>1905</wp:posOffset>
                </wp:positionH>
                <wp:positionV relativeFrom="paragraph">
                  <wp:posOffset>27940</wp:posOffset>
                </wp:positionV>
                <wp:extent cx="6114415" cy="831215"/>
                <wp:effectExtent l="11430" t="8890" r="8255" b="13970"/>
                <wp:wrapNone/>
                <wp:docPr id="27"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4415" cy="831215"/>
                        </a:xfrm>
                        <a:prstGeom prst="rect">
                          <a:avLst/>
                        </a:prstGeom>
                        <a:solidFill>
                          <a:schemeClr val="accent6">
                            <a:lumMod val="40000"/>
                            <a:lumOff val="60000"/>
                          </a:schemeClr>
                        </a:solidFill>
                        <a:ln w="9525">
                          <a:solidFill>
                            <a:schemeClr val="accent6">
                              <a:lumMod val="40000"/>
                              <a:lumOff val="60000"/>
                            </a:schemeClr>
                          </a:solidFill>
                          <a:miter lim="800000"/>
                          <a:headEnd/>
                          <a:tailEnd/>
                        </a:ln>
                      </wps:spPr>
                      <wps:txbx>
                        <w:txbxContent>
                          <w:p w:rsidR="00C907E7" w:rsidRPr="001210FB" w:rsidRDefault="00C907E7" w:rsidP="001210FB">
                            <w:pPr>
                              <w:jc w:val="both"/>
                              <w:rPr>
                                <w:b/>
                                <w:color w:val="984806" w:themeColor="accent6" w:themeShade="80"/>
                                <w:spacing w:val="-2"/>
                              </w:rPr>
                            </w:pPr>
                            <w:r w:rsidRPr="001210FB">
                              <w:rPr>
                                <w:b/>
                                <w:color w:val="984806" w:themeColor="accent6" w:themeShade="80"/>
                              </w:rPr>
                              <w:t>Atmosférické koncentrace oxidu uhličitého (CO</w:t>
                            </w:r>
                            <w:r w:rsidRPr="001210FB">
                              <w:rPr>
                                <w:b/>
                                <w:color w:val="984806" w:themeColor="accent6" w:themeShade="80"/>
                                <w:vertAlign w:val="subscript"/>
                              </w:rPr>
                              <w:t>2</w:t>
                            </w:r>
                            <w:r w:rsidRPr="001210FB">
                              <w:rPr>
                                <w:b/>
                                <w:color w:val="984806" w:themeColor="accent6" w:themeShade="80"/>
                              </w:rPr>
                              <w:t>), metanu a oxidů dusíku se zvýšily na úroveň nebývalou za posledních minimálně 800 000 let. Koncentrace CO</w:t>
                            </w:r>
                            <w:r w:rsidRPr="001210FB">
                              <w:rPr>
                                <w:b/>
                                <w:color w:val="984806" w:themeColor="accent6" w:themeShade="80"/>
                                <w:vertAlign w:val="subscript"/>
                              </w:rPr>
                              <w:t xml:space="preserve">2 </w:t>
                            </w:r>
                            <w:r w:rsidRPr="001210FB">
                              <w:rPr>
                                <w:b/>
                                <w:color w:val="984806" w:themeColor="accent6" w:themeShade="80"/>
                              </w:rPr>
                              <w:t xml:space="preserve">se od preindustriálních dob zvýšily o 40 %, primárně v důsledku emisí z fosilních paliv a sekundárně v důsledku čistých emisí ze změn využívání půdy. Oceán absorboval zhruba 30 % emitovaného antropogenního oxidu uhličitého, což způsobuje jeho acidifikaci (viz obr. SPM.4). </w:t>
                            </w:r>
                            <w:r w:rsidRPr="001210FB">
                              <w:rPr>
                                <w:b/>
                                <w:color w:val="984806" w:themeColor="accent6" w:themeShade="80"/>
                                <w:sz w:val="16"/>
                                <w:szCs w:val="16"/>
                              </w:rPr>
                              <w:t>{2.2, 3.8, 5.2, 6.2, 6.3}</w:t>
                            </w:r>
                            <w:r w:rsidRPr="001210FB">
                              <w:rPr>
                                <w:b/>
                                <w:color w:val="984806" w:themeColor="accent6" w:themeShade="80"/>
                              </w:rPr>
                              <w:t xml:space="preserve"> </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1" o:spid="_x0000_s1031" type="#_x0000_t202" style="position:absolute;left:0;text-align:left;margin-left:.15pt;margin-top:2.2pt;width:481.45pt;height:65.45pt;z-index:2516705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" fillcolor="#fbd4b4 [1305]" strokecolor="#fbd4b4 [1305]">
                <v:textbox style="mso-fit-shape-to-text:t">
                  <w:txbxContent>
                    <w:p w:rsidR="00C907E7" w:rsidRPr="001210FB" w:rsidRDefault="00C907E7" w:rsidP="001210FB">
                      <w:pPr>
                        <w:jc w:val="both"/>
                        <w:rPr>
                          <w:b/>
                          <w:color w:val="984806" w:themeColor="accent6" w:themeShade="80"/>
                          <w:spacing w:val="-2"/>
                        </w:rPr>
                      </w:pPr>
                      <w:r w:rsidRPr="001210FB">
                        <w:rPr>
                          <w:b/>
                          <w:color w:val="984806" w:themeColor="accent6" w:themeShade="80"/>
                        </w:rPr>
                        <w:t>Atmosférické koncentrace oxidu uhličitého (CO</w:t>
                      </w:r>
                      <w:r w:rsidRPr="001210FB">
                        <w:rPr>
                          <w:b/>
                          <w:color w:val="984806" w:themeColor="accent6" w:themeShade="80"/>
                          <w:vertAlign w:val="subscript"/>
                        </w:rPr>
                        <w:t>2</w:t>
                      </w:r>
                      <w:r w:rsidRPr="001210FB">
                        <w:rPr>
                          <w:b/>
                          <w:color w:val="984806" w:themeColor="accent6" w:themeShade="80"/>
                        </w:rPr>
                        <w:t>), metanu a oxidů dusíku se zvýšily na úroveň nebývalou za posledních minimálně 800 000 let. Koncentrace CO</w:t>
                      </w:r>
                      <w:r w:rsidRPr="001210FB">
                        <w:rPr>
                          <w:b/>
                          <w:color w:val="984806" w:themeColor="accent6" w:themeShade="80"/>
                          <w:vertAlign w:val="subscript"/>
                        </w:rPr>
                        <w:t xml:space="preserve">2 </w:t>
                      </w:r>
                      <w:r w:rsidRPr="001210FB">
                        <w:rPr>
                          <w:b/>
                          <w:color w:val="984806" w:themeColor="accent6" w:themeShade="80"/>
                        </w:rPr>
                        <w:t xml:space="preserve">se od preindustriálních dob zvýšily o 40 %, primárně v důsledku emisí z fosilních paliv a sekundárně v důsledku čistých emisí ze změn využívání půdy. Oceán absorboval zhruba 30 % emitovaného antropogenního oxidu uhličitého, což způsobuje jeho acidifikaci (viz obr. SPM.4). </w:t>
                      </w:r>
                      <w:r w:rsidRPr="001210FB">
                        <w:rPr>
                          <w:b/>
                          <w:color w:val="984806" w:themeColor="accent6" w:themeShade="80"/>
                          <w:sz w:val="16"/>
                          <w:szCs w:val="16"/>
                        </w:rPr>
                        <w:t>{2.2, 3.8, 5.2, 6.2, 6.3}</w:t>
                      </w:r>
                      <w:r w:rsidRPr="001210FB">
                        <w:rPr>
                          <w:b/>
                          <w:color w:val="984806" w:themeColor="accent6" w:themeShade="80"/>
                        </w:rPr>
                        <w:t xml:space="preserve"> </w:t>
                      </w:r>
                    </w:p>
                  </w:txbxContent>
                </v:textbox>
              </v:shape>
            </w:pict>
          </mc:Fallback>
        </mc:AlternateContent>
      </w:r>
    </w:p>
    <w:p w:rsidR="006A086B" w:rsidRDefault="006A086B" w:rsidP="006A086B">
      <w:pPr>
        <w:shd w:val="clear" w:color="auto" w:fill="FFFFFF"/>
        <w:spacing w:line="276" w:lineRule="auto"/>
        <w:ind w:right="77"/>
        <w:jc w:val="both"/>
        <w:rPr>
          <w:bCs/>
          <w:color w:val="000000"/>
        </w:rPr>
      </w:pPr>
    </w:p>
    <w:p w:rsidR="006A086B" w:rsidRDefault="006A086B" w:rsidP="006A086B">
      <w:pPr>
        <w:shd w:val="clear" w:color="auto" w:fill="FFFFFF"/>
        <w:spacing w:line="276" w:lineRule="auto"/>
        <w:ind w:right="77"/>
        <w:jc w:val="both"/>
        <w:rPr>
          <w:bCs/>
          <w:color w:val="000000"/>
        </w:rPr>
      </w:pPr>
    </w:p>
    <w:p w:rsidR="006A086B" w:rsidRDefault="006A086B" w:rsidP="006A086B">
      <w:pPr>
        <w:shd w:val="clear" w:color="auto" w:fill="FFFFFF"/>
        <w:spacing w:line="276" w:lineRule="auto"/>
        <w:ind w:right="77"/>
        <w:jc w:val="both"/>
        <w:rPr>
          <w:bCs/>
          <w:color w:val="000000"/>
        </w:rPr>
      </w:pPr>
    </w:p>
    <w:p w:rsidR="006A086B" w:rsidRPr="006A086B" w:rsidRDefault="006A086B" w:rsidP="006A086B">
      <w:pPr>
        <w:shd w:val="clear" w:color="auto" w:fill="FFFFFF"/>
        <w:spacing w:line="276" w:lineRule="auto"/>
        <w:ind w:right="77"/>
        <w:jc w:val="both"/>
        <w:rPr>
          <w:bCs/>
          <w:color w:val="000000"/>
        </w:rPr>
      </w:pPr>
    </w:p>
    <w:p w:rsidR="006A086B" w:rsidRDefault="006A086B" w:rsidP="006A086B">
      <w:pPr>
        <w:ind w:left="284" w:hanging="284"/>
        <w:rPr>
          <w:b/>
          <w:sz w:val="28"/>
          <w:szCs w:val="28"/>
        </w:rPr>
      </w:pPr>
    </w:p>
    <w:p w:rsidR="001210FB" w:rsidRPr="001210FB" w:rsidRDefault="001210FB" w:rsidP="001210FB">
      <w:pPr>
        <w:numPr>
          <w:ilvl w:val="0"/>
          <w:numId w:val="6"/>
        </w:numPr>
        <w:shd w:val="clear" w:color="auto" w:fill="FFFFFF"/>
        <w:spacing w:line="226" w:lineRule="exact"/>
        <w:ind w:left="426" w:right="77"/>
        <w:jc w:val="both"/>
        <w:rPr>
          <w:bCs/>
          <w:color w:val="000000"/>
        </w:rPr>
      </w:pPr>
      <w:r w:rsidRPr="001210FB">
        <w:rPr>
          <w:bCs/>
          <w:color w:val="000000"/>
        </w:rPr>
        <w:t>Atmosférické koncentrace skleníkových plynů oxidu uhličitého (</w:t>
      </w:r>
      <w:r w:rsidRPr="001210FB">
        <w:t>CO</w:t>
      </w:r>
      <w:r w:rsidRPr="001210FB">
        <w:rPr>
          <w:vertAlign w:val="subscript"/>
        </w:rPr>
        <w:t>2</w:t>
      </w:r>
      <w:r w:rsidRPr="001210FB">
        <w:t>)</w:t>
      </w:r>
      <w:r w:rsidRPr="001210FB">
        <w:rPr>
          <w:bCs/>
          <w:color w:val="000000"/>
        </w:rPr>
        <w:t>, metanu (CH</w:t>
      </w:r>
      <w:r w:rsidRPr="001210FB">
        <w:rPr>
          <w:bCs/>
          <w:color w:val="000000"/>
          <w:vertAlign w:val="subscript"/>
        </w:rPr>
        <w:t>4</w:t>
      </w:r>
      <w:r w:rsidRPr="001210FB">
        <w:rPr>
          <w:bCs/>
          <w:color w:val="000000"/>
        </w:rPr>
        <w:t>) a oxidu dusného (N</w:t>
      </w:r>
      <w:r w:rsidRPr="001210FB">
        <w:rPr>
          <w:bCs/>
          <w:color w:val="000000"/>
          <w:vertAlign w:val="subscript"/>
        </w:rPr>
        <w:t>2</w:t>
      </w:r>
      <w:r w:rsidRPr="001210FB">
        <w:rPr>
          <w:bCs/>
          <w:color w:val="000000"/>
        </w:rPr>
        <w:t>O) se od roku 1750 zvýšily v důsledku lidské činnosti. V roce 2011 byly koncentrace těchto skleníkových plynů 391 ppm</w:t>
      </w:r>
      <w:r w:rsidRPr="001210FB">
        <w:rPr>
          <w:rStyle w:val="Znakapoznpodarou"/>
          <w:bCs/>
          <w:color w:val="000000"/>
        </w:rPr>
        <w:footnoteReference w:id="11"/>
      </w:r>
      <w:r w:rsidRPr="001210FB">
        <w:rPr>
          <w:bCs/>
          <w:color w:val="000000"/>
        </w:rPr>
        <w:t xml:space="preserve">, 1803 ppb, respektive 324 ppb a překročily preindustriální úroveň o 40 %, 150 %, respektive 20 %. {2.2, 5.2, 6.1, 6.2} </w:t>
      </w:r>
    </w:p>
    <w:p w:rsidR="001210FB" w:rsidRPr="001210FB" w:rsidRDefault="001210FB" w:rsidP="001210FB">
      <w:pPr>
        <w:shd w:val="clear" w:color="auto" w:fill="FFFFFF"/>
        <w:spacing w:line="226" w:lineRule="exact"/>
        <w:ind w:left="426" w:right="77"/>
        <w:jc w:val="both"/>
        <w:rPr>
          <w:bCs/>
          <w:color w:val="000000"/>
        </w:rPr>
      </w:pPr>
    </w:p>
    <w:p w:rsidR="001210FB" w:rsidRPr="001210FB" w:rsidRDefault="001210FB" w:rsidP="001210FB">
      <w:pPr>
        <w:numPr>
          <w:ilvl w:val="0"/>
          <w:numId w:val="6"/>
        </w:numPr>
        <w:shd w:val="clear" w:color="auto" w:fill="FFFFFF"/>
        <w:spacing w:line="226" w:lineRule="exact"/>
        <w:ind w:left="426" w:right="77"/>
        <w:jc w:val="both"/>
        <w:rPr>
          <w:bCs/>
          <w:color w:val="000000"/>
        </w:rPr>
      </w:pPr>
      <w:r w:rsidRPr="001210FB">
        <w:rPr>
          <w:bCs/>
          <w:color w:val="000000"/>
        </w:rPr>
        <w:t xml:space="preserve">Koncentrace </w:t>
      </w:r>
      <w:r w:rsidRPr="001210FB">
        <w:rPr>
          <w:color w:val="000000"/>
          <w:spacing w:val="-2"/>
        </w:rPr>
        <w:t>CO</w:t>
      </w:r>
      <w:r w:rsidRPr="001210FB">
        <w:rPr>
          <w:color w:val="000000"/>
          <w:spacing w:val="-2"/>
          <w:vertAlign w:val="subscript"/>
        </w:rPr>
        <w:t>2</w:t>
      </w:r>
      <w:r w:rsidRPr="001210FB">
        <w:rPr>
          <w:color w:val="000000"/>
          <w:spacing w:val="-2"/>
        </w:rPr>
        <w:t>, CH</w:t>
      </w:r>
      <w:r w:rsidRPr="001210FB">
        <w:rPr>
          <w:color w:val="000000"/>
          <w:spacing w:val="-2"/>
          <w:vertAlign w:val="subscript"/>
        </w:rPr>
        <w:t>4</w:t>
      </w:r>
      <w:r w:rsidRPr="001210FB">
        <w:rPr>
          <w:color w:val="000000"/>
          <w:spacing w:val="-2"/>
        </w:rPr>
        <w:t xml:space="preserve"> a N</w:t>
      </w:r>
      <w:r w:rsidRPr="001210FB">
        <w:rPr>
          <w:color w:val="000000"/>
          <w:spacing w:val="-2"/>
          <w:vertAlign w:val="subscript"/>
        </w:rPr>
        <w:t>2</w:t>
      </w:r>
      <w:r w:rsidRPr="001210FB">
        <w:rPr>
          <w:color w:val="000000"/>
          <w:spacing w:val="-2"/>
        </w:rPr>
        <w:t>O nyní podstatně přesahují nejvyšší koncentrace, zaznamenané ve vrtných ledovcových jádrech za posledních 800 000 let. Průměrná rychlost nárůstu atmosférických koncentrací v posledním století je s </w:t>
      </w:r>
      <w:r w:rsidRPr="001210FB">
        <w:rPr>
          <w:i/>
          <w:color w:val="000000"/>
          <w:spacing w:val="-2"/>
        </w:rPr>
        <w:t>velmi vysokou spolehlivostí</w:t>
      </w:r>
      <w:r w:rsidRPr="001210FB">
        <w:rPr>
          <w:color w:val="000000"/>
          <w:spacing w:val="-2"/>
        </w:rPr>
        <w:t xml:space="preserve"> bezprecedentní za posledních 22 000 let. </w:t>
      </w:r>
      <w:r w:rsidRPr="001210FB">
        <w:rPr>
          <w:color w:val="000000"/>
        </w:rPr>
        <w:t>{5.2, 6.1, 6.2}</w:t>
      </w:r>
    </w:p>
    <w:p w:rsidR="001210FB" w:rsidRDefault="001210FB" w:rsidP="006A086B">
      <w:pPr>
        <w:ind w:left="284" w:hanging="284"/>
        <w:rPr>
          <w:b/>
          <w:sz w:val="28"/>
          <w:szCs w:val="28"/>
        </w:rPr>
      </w:pPr>
    </w:p>
    <w:p w:rsidR="00815A06" w:rsidRDefault="00815A06" w:rsidP="006A086B">
      <w:pPr>
        <w:ind w:left="284" w:hanging="284"/>
        <w:rPr>
          <w:b/>
          <w:sz w:val="28"/>
          <w:szCs w:val="28"/>
        </w:rPr>
      </w:pPr>
    </w:p>
    <w:p w:rsidR="00815A06" w:rsidRDefault="00815A06" w:rsidP="006A086B">
      <w:pPr>
        <w:ind w:left="284" w:hanging="284"/>
        <w:rPr>
          <w:b/>
          <w:sz w:val="28"/>
          <w:szCs w:val="28"/>
        </w:rPr>
      </w:pPr>
    </w:p>
    <w:p w:rsidR="00815A06" w:rsidRPr="00815A06" w:rsidRDefault="00815A06" w:rsidP="00815A06">
      <w:pPr>
        <w:numPr>
          <w:ilvl w:val="0"/>
          <w:numId w:val="6"/>
        </w:numPr>
        <w:shd w:val="clear" w:color="auto" w:fill="FFFFFF"/>
        <w:spacing w:line="226" w:lineRule="exact"/>
        <w:ind w:left="284" w:right="77" w:hanging="284"/>
        <w:jc w:val="both"/>
        <w:rPr>
          <w:bCs/>
          <w:color w:val="000000"/>
        </w:rPr>
      </w:pPr>
      <w:r w:rsidRPr="00815A06">
        <w:rPr>
          <w:bCs/>
          <w:color w:val="000000"/>
        </w:rPr>
        <w:lastRenderedPageBreak/>
        <w:t xml:space="preserve">Roční emise </w:t>
      </w:r>
      <w:r w:rsidRPr="00815A06">
        <w:rPr>
          <w:color w:val="000000"/>
          <w:spacing w:val="-2"/>
        </w:rPr>
        <w:t>CO</w:t>
      </w:r>
      <w:r w:rsidRPr="00815A06">
        <w:rPr>
          <w:color w:val="000000"/>
          <w:spacing w:val="-2"/>
          <w:vertAlign w:val="subscript"/>
        </w:rPr>
        <w:t>2</w:t>
      </w:r>
      <w:r w:rsidRPr="00815A06">
        <w:rPr>
          <w:color w:val="000000"/>
          <w:spacing w:val="-2"/>
        </w:rPr>
        <w:t xml:space="preserve"> </w:t>
      </w:r>
      <w:r w:rsidRPr="00815A06">
        <w:rPr>
          <w:bCs/>
          <w:color w:val="000000"/>
        </w:rPr>
        <w:t xml:space="preserve">ze spalování fosilních paliv a výroby cementu činily </w:t>
      </w:r>
      <w:r w:rsidRPr="00815A06">
        <w:rPr>
          <w:color w:val="000000"/>
          <w:spacing w:val="-1"/>
        </w:rPr>
        <w:t>za období let 2002-2011</w:t>
      </w:r>
      <w:r w:rsidRPr="00815A06">
        <w:rPr>
          <w:bCs/>
          <w:color w:val="000000"/>
        </w:rPr>
        <w:t xml:space="preserve"> průměrně </w:t>
      </w:r>
      <w:r w:rsidRPr="00815A06">
        <w:rPr>
          <w:color w:val="000000"/>
          <w:spacing w:val="-2"/>
        </w:rPr>
        <w:t xml:space="preserve">8,3 [7,6 až 9,0] </w:t>
      </w:r>
      <w:r w:rsidRPr="00815A06">
        <w:rPr>
          <w:color w:val="000000"/>
          <w:spacing w:val="-1"/>
        </w:rPr>
        <w:t>GtC</w:t>
      </w:r>
      <w:r w:rsidRPr="00815A06">
        <w:rPr>
          <w:rStyle w:val="Znakapoznpodarou"/>
          <w:color w:val="000000"/>
          <w:spacing w:val="-1"/>
        </w:rPr>
        <w:footnoteReference w:id="12"/>
      </w:r>
      <w:r w:rsidRPr="00815A06">
        <w:rPr>
          <w:color w:val="000000"/>
          <w:spacing w:val="-1"/>
        </w:rPr>
        <w:t>.rok</w:t>
      </w:r>
      <w:r w:rsidRPr="00815A06">
        <w:rPr>
          <w:color w:val="000000"/>
          <w:spacing w:val="-1"/>
          <w:vertAlign w:val="superscript"/>
        </w:rPr>
        <w:t>-1</w:t>
      </w:r>
      <w:r w:rsidRPr="00815A06">
        <w:rPr>
          <w:color w:val="000000"/>
          <w:spacing w:val="-1"/>
        </w:rPr>
        <w:t xml:space="preserve"> </w:t>
      </w:r>
      <w:r w:rsidRPr="00815A06">
        <w:rPr>
          <w:i/>
          <w:iCs/>
          <w:color w:val="000000"/>
          <w:spacing w:val="-1"/>
        </w:rPr>
        <w:t xml:space="preserve">(vysoká spolehlivost) </w:t>
      </w:r>
      <w:r w:rsidRPr="00815A06">
        <w:rPr>
          <w:color w:val="000000"/>
          <w:spacing w:val="-1"/>
        </w:rPr>
        <w:t>a v roce 2011 dosáhly 9,5 [8,7 až 10,3] GtC.rok</w:t>
      </w:r>
      <w:r w:rsidRPr="00815A06">
        <w:rPr>
          <w:color w:val="000000"/>
          <w:spacing w:val="-1"/>
          <w:vertAlign w:val="superscript"/>
        </w:rPr>
        <w:t>-1</w:t>
      </w:r>
      <w:r w:rsidRPr="00815A06">
        <w:rPr>
          <w:color w:val="000000"/>
          <w:spacing w:val="-1"/>
        </w:rPr>
        <w:t xml:space="preserve">, což je 54 % nad úrovní roku 1990. Průměrné čisté roční emise </w:t>
      </w:r>
      <w:r w:rsidRPr="00815A06">
        <w:rPr>
          <w:color w:val="000000"/>
          <w:spacing w:val="-2"/>
        </w:rPr>
        <w:t>CO</w:t>
      </w:r>
      <w:r w:rsidRPr="00815A06">
        <w:rPr>
          <w:color w:val="000000"/>
          <w:spacing w:val="-2"/>
          <w:vertAlign w:val="subscript"/>
        </w:rPr>
        <w:t xml:space="preserve">2 </w:t>
      </w:r>
      <w:r w:rsidRPr="00815A06">
        <w:rPr>
          <w:color w:val="000000"/>
          <w:spacing w:val="-1"/>
        </w:rPr>
        <w:t xml:space="preserve">ze změny antropogenního využívání půdy byly </w:t>
      </w:r>
      <w:r w:rsidRPr="00815A06">
        <w:rPr>
          <w:color w:val="000000"/>
        </w:rPr>
        <w:t>za období let 2002 až 2011 v průměru 0,9 [0,1 až 1,7] GtC.</w:t>
      </w:r>
      <w:r w:rsidRPr="00815A06">
        <w:rPr>
          <w:color w:val="000000"/>
          <w:spacing w:val="-1"/>
        </w:rPr>
        <w:t>rok</w:t>
      </w:r>
      <w:r w:rsidRPr="00815A06">
        <w:rPr>
          <w:color w:val="000000"/>
          <w:spacing w:val="-1"/>
          <w:vertAlign w:val="superscript"/>
        </w:rPr>
        <w:t>-1</w:t>
      </w:r>
      <w:r w:rsidRPr="00815A06">
        <w:rPr>
          <w:color w:val="000000"/>
        </w:rPr>
        <w:t xml:space="preserve"> </w:t>
      </w:r>
      <w:r w:rsidRPr="00815A06">
        <w:rPr>
          <w:i/>
          <w:iCs/>
          <w:color w:val="000000"/>
        </w:rPr>
        <w:t xml:space="preserve">(střední spolehlivost). </w:t>
      </w:r>
      <w:r w:rsidRPr="00815A06">
        <w:rPr>
          <w:color w:val="000000"/>
          <w:spacing w:val="-2"/>
        </w:rPr>
        <w:t>{6.3}</w:t>
      </w:r>
    </w:p>
    <w:p w:rsidR="00815A06" w:rsidRPr="00815A06" w:rsidRDefault="00815A06" w:rsidP="00815A06">
      <w:pPr>
        <w:pStyle w:val="Odstavecseseznamem"/>
        <w:ind w:left="284" w:hanging="284"/>
        <w:jc w:val="both"/>
        <w:rPr>
          <w:bCs/>
          <w:color w:val="000000"/>
        </w:rPr>
      </w:pPr>
    </w:p>
    <w:p w:rsidR="00815A06" w:rsidRPr="00815A06" w:rsidRDefault="00815A06" w:rsidP="00815A06">
      <w:pPr>
        <w:numPr>
          <w:ilvl w:val="0"/>
          <w:numId w:val="6"/>
        </w:numPr>
        <w:shd w:val="clear" w:color="auto" w:fill="FFFFFF"/>
        <w:spacing w:line="226" w:lineRule="exact"/>
        <w:ind w:left="284" w:right="77" w:hanging="284"/>
        <w:jc w:val="both"/>
        <w:rPr>
          <w:bCs/>
          <w:color w:val="000000"/>
        </w:rPr>
      </w:pPr>
      <w:r w:rsidRPr="00815A06">
        <w:rPr>
          <w:bCs/>
          <w:color w:val="000000"/>
        </w:rPr>
        <w:t xml:space="preserve">Od roku 1750 do roku 2011 uvolnily emise </w:t>
      </w:r>
      <w:r w:rsidRPr="00815A06">
        <w:rPr>
          <w:color w:val="000000"/>
          <w:spacing w:val="-1"/>
        </w:rPr>
        <w:t>CO</w:t>
      </w:r>
      <w:r w:rsidRPr="00815A06">
        <w:rPr>
          <w:color w:val="000000"/>
          <w:spacing w:val="-1"/>
          <w:vertAlign w:val="subscript"/>
        </w:rPr>
        <w:t xml:space="preserve">2 </w:t>
      </w:r>
      <w:r w:rsidRPr="00815A06">
        <w:rPr>
          <w:bCs/>
          <w:color w:val="000000"/>
        </w:rPr>
        <w:t xml:space="preserve">ze spalování fosilních paliv a výroby cementu do atmosféry </w:t>
      </w:r>
      <w:r w:rsidRPr="00815A06">
        <w:rPr>
          <w:color w:val="000000"/>
          <w:spacing w:val="2"/>
        </w:rPr>
        <w:t xml:space="preserve">375 [345 až 405] GtC, zatímco odlesňování a další změny ve využívání půdy uvolnily asi </w:t>
      </w:r>
      <w:r w:rsidRPr="00815A06">
        <w:rPr>
          <w:color w:val="000000"/>
        </w:rPr>
        <w:t>180 [100 až 260] GtC</w:t>
      </w:r>
      <w:r w:rsidRPr="00815A06">
        <w:rPr>
          <w:color w:val="000000"/>
          <w:spacing w:val="2"/>
        </w:rPr>
        <w:t xml:space="preserve">. Výsledkem jsou kumulativní antropogenní emise ve výši </w:t>
      </w:r>
      <w:r w:rsidRPr="00815A06">
        <w:rPr>
          <w:color w:val="000000"/>
        </w:rPr>
        <w:t>555 [470 až 640] GtC. {6.3}</w:t>
      </w:r>
    </w:p>
    <w:p w:rsidR="00815A06" w:rsidRPr="00815A06" w:rsidRDefault="00815A06" w:rsidP="00815A06">
      <w:pPr>
        <w:pStyle w:val="Odstavecseseznamem"/>
        <w:ind w:left="284" w:hanging="284"/>
        <w:jc w:val="both"/>
        <w:rPr>
          <w:bCs/>
          <w:color w:val="000000"/>
        </w:rPr>
      </w:pPr>
    </w:p>
    <w:p w:rsidR="00815A06" w:rsidRPr="00815A06" w:rsidRDefault="00815A06" w:rsidP="00815A06">
      <w:pPr>
        <w:numPr>
          <w:ilvl w:val="0"/>
          <w:numId w:val="6"/>
        </w:numPr>
        <w:shd w:val="clear" w:color="auto" w:fill="FFFFFF"/>
        <w:spacing w:line="226" w:lineRule="exact"/>
        <w:ind w:left="284" w:right="77" w:hanging="284"/>
        <w:jc w:val="both"/>
        <w:rPr>
          <w:color w:val="000000"/>
          <w:spacing w:val="2"/>
        </w:rPr>
      </w:pPr>
      <w:r w:rsidRPr="00815A06">
        <w:rPr>
          <w:color w:val="000000"/>
          <w:spacing w:val="2"/>
        </w:rPr>
        <w:t>Z těchto kumulativních antropogenních emisí CO</w:t>
      </w:r>
      <w:r w:rsidRPr="00815A06">
        <w:rPr>
          <w:color w:val="000000"/>
          <w:spacing w:val="2"/>
          <w:vertAlign w:val="subscript"/>
        </w:rPr>
        <w:t>2</w:t>
      </w:r>
      <w:r w:rsidRPr="00815A06">
        <w:rPr>
          <w:color w:val="000000"/>
          <w:spacing w:val="2"/>
        </w:rPr>
        <w:t xml:space="preserve"> se 240 [230 až 250] GtC naakumulovalo v atmosféře, 155 [125 až 185] GtC absorboval oceán a 160 [70 až 250] GtC se naakumulovalo v přírodních pozemních ekosystémech (srov. kumulativní reziduální pevninské propady). </w:t>
      </w:r>
      <w:r w:rsidRPr="00815A06">
        <w:rPr>
          <w:color w:val="000000"/>
          <w:spacing w:val="8"/>
        </w:rPr>
        <w:t>{obr. TS.4, 3.8, 6.3}</w:t>
      </w:r>
    </w:p>
    <w:p w:rsidR="00815A06" w:rsidRPr="00815A06" w:rsidRDefault="00815A06" w:rsidP="00815A06">
      <w:pPr>
        <w:pStyle w:val="Odstavecseseznamem"/>
        <w:ind w:left="284" w:hanging="284"/>
        <w:jc w:val="both"/>
        <w:rPr>
          <w:color w:val="000000"/>
          <w:spacing w:val="2"/>
        </w:rPr>
      </w:pPr>
    </w:p>
    <w:p w:rsidR="00815A06" w:rsidRPr="00815A06" w:rsidRDefault="00815A06" w:rsidP="00815A06">
      <w:pPr>
        <w:numPr>
          <w:ilvl w:val="0"/>
          <w:numId w:val="6"/>
        </w:numPr>
        <w:shd w:val="clear" w:color="auto" w:fill="FFFFFF"/>
        <w:spacing w:line="226" w:lineRule="exact"/>
        <w:ind w:left="284" w:right="77" w:hanging="284"/>
        <w:jc w:val="both"/>
        <w:rPr>
          <w:color w:val="000000"/>
          <w:spacing w:val="2"/>
        </w:rPr>
      </w:pPr>
      <w:r w:rsidRPr="00815A06">
        <w:rPr>
          <w:color w:val="000000"/>
          <w:spacing w:val="2"/>
        </w:rPr>
        <w:t>Acidifikace (okyselování) oceánu je vyjádřena poklesem hodnoty pH</w:t>
      </w:r>
      <w:r w:rsidRPr="00815A06">
        <w:rPr>
          <w:rStyle w:val="Znakapoznpodarou"/>
          <w:color w:val="000000"/>
          <w:spacing w:val="2"/>
        </w:rPr>
        <w:footnoteReference w:id="13"/>
      </w:r>
      <w:r w:rsidRPr="00815A06">
        <w:rPr>
          <w:color w:val="000000"/>
          <w:spacing w:val="2"/>
        </w:rPr>
        <w:t>. Hodnota pH povrchové vody oceánu se od začátku industriální éry snížila o 0,1 (</w:t>
      </w:r>
      <w:r w:rsidRPr="00815A06">
        <w:rPr>
          <w:i/>
          <w:color w:val="000000"/>
          <w:spacing w:val="2"/>
        </w:rPr>
        <w:t>vysoká spolehlivost</w:t>
      </w:r>
      <w:r w:rsidRPr="00815A06">
        <w:rPr>
          <w:color w:val="000000"/>
          <w:spacing w:val="2"/>
        </w:rPr>
        <w:t xml:space="preserve">), což odpovídá 26% nárůstu koncentrace vodíkových iontů </w:t>
      </w:r>
      <w:r w:rsidR="00E06912">
        <w:rPr>
          <w:color w:val="000000"/>
          <w:spacing w:val="9"/>
        </w:rPr>
        <w:t>(viz obr. SPM.4). {3.8</w:t>
      </w:r>
      <w:r w:rsidRPr="00815A06">
        <w:rPr>
          <w:color w:val="000000"/>
          <w:spacing w:val="9"/>
        </w:rPr>
        <w:t>, box 3.2}</w:t>
      </w:r>
    </w:p>
    <w:p w:rsidR="00815A06" w:rsidRDefault="00815A06" w:rsidP="00815A06">
      <w:pPr>
        <w:ind w:left="284" w:hanging="284"/>
        <w:jc w:val="both"/>
        <w:rPr>
          <w:b/>
        </w:rPr>
      </w:pPr>
    </w:p>
    <w:p w:rsidR="00815A06" w:rsidRDefault="00815A06" w:rsidP="00815A06">
      <w:pPr>
        <w:ind w:left="284" w:hanging="284"/>
        <w:jc w:val="both"/>
        <w:rPr>
          <w:b/>
        </w:rPr>
      </w:pPr>
    </w:p>
    <w:p w:rsidR="00815A06" w:rsidRDefault="00815A06" w:rsidP="00815A06">
      <w:pPr>
        <w:ind w:left="284" w:hanging="284"/>
        <w:jc w:val="center"/>
        <w:rPr>
          <w:b/>
        </w:rPr>
      </w:pPr>
      <w:r>
        <w:rPr>
          <w:b/>
          <w:noProof/>
        </w:rPr>
        <w:drawing>
          <wp:inline distT="0" distB="0" distL="0" distR="0">
            <wp:extent cx="3825020" cy="4413433"/>
            <wp:effectExtent l="19050" t="0" r="4030" b="0"/>
            <wp:docPr id="5" name="Obrázek 4" descr="SPM Fig4_final-C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M Fig4_final-CZ.jpg"/>
                    <pic:cNvPicPr/>
                  </pic:nvPicPr>
                  <pic:blipFill>
                    <a:blip r:embed="rId16" cstate="print"/>
                    <a:stretch>
                      <a:fillRect/>
                    </a:stretch>
                  </pic:blipFill>
                  <pic:spPr>
                    <a:xfrm>
                      <a:off x="0" y="0"/>
                      <a:ext cx="3825240" cy="4413687"/>
                    </a:xfrm>
                    <a:prstGeom prst="rect">
                      <a:avLst/>
                    </a:prstGeom>
                  </pic:spPr>
                </pic:pic>
              </a:graphicData>
            </a:graphic>
          </wp:inline>
        </w:drawing>
      </w:r>
    </w:p>
    <w:p w:rsidR="00815A06" w:rsidRDefault="00815A06" w:rsidP="00815A06">
      <w:pPr>
        <w:shd w:val="clear" w:color="auto" w:fill="FFFFFF"/>
        <w:spacing w:line="230" w:lineRule="exact"/>
        <w:ind w:right="10"/>
        <w:jc w:val="both"/>
        <w:rPr>
          <w:rFonts w:ascii="Calibri" w:hAnsi="Calibri"/>
          <w:b/>
          <w:color w:val="000000"/>
          <w:spacing w:val="7"/>
          <w:sz w:val="22"/>
          <w:szCs w:val="22"/>
        </w:rPr>
      </w:pPr>
    </w:p>
    <w:p w:rsidR="00815A06" w:rsidRPr="00815A06" w:rsidRDefault="00815A06" w:rsidP="00815A06">
      <w:pPr>
        <w:shd w:val="clear" w:color="auto" w:fill="FFFFFF"/>
        <w:jc w:val="both"/>
        <w:rPr>
          <w:sz w:val="16"/>
          <w:szCs w:val="16"/>
        </w:rPr>
      </w:pPr>
      <w:r w:rsidRPr="00815A06">
        <w:rPr>
          <w:b/>
          <w:color w:val="000000"/>
          <w:spacing w:val="7"/>
          <w:sz w:val="16"/>
          <w:szCs w:val="16"/>
        </w:rPr>
        <w:t>Obr</w:t>
      </w:r>
      <w:r>
        <w:rPr>
          <w:b/>
          <w:color w:val="000000"/>
          <w:spacing w:val="7"/>
          <w:sz w:val="16"/>
          <w:szCs w:val="16"/>
        </w:rPr>
        <w:t>.</w:t>
      </w:r>
      <w:r w:rsidRPr="00815A06">
        <w:rPr>
          <w:b/>
          <w:bCs/>
          <w:color w:val="000000"/>
          <w:spacing w:val="7"/>
          <w:sz w:val="16"/>
          <w:szCs w:val="16"/>
        </w:rPr>
        <w:t xml:space="preserve">SPM.4: </w:t>
      </w:r>
      <w:r w:rsidRPr="00815A06">
        <w:rPr>
          <w:bCs/>
          <w:color w:val="000000"/>
          <w:spacing w:val="7"/>
          <w:sz w:val="16"/>
          <w:szCs w:val="16"/>
        </w:rPr>
        <w:t>Různé pozorované ukazatele měnícího se globálního koloběhu uhlíku: (a) atmosférické koncentrace oxidu uhličitého (CO</w:t>
      </w:r>
      <w:r w:rsidRPr="00815A06">
        <w:rPr>
          <w:bCs/>
          <w:color w:val="000000"/>
          <w:spacing w:val="7"/>
          <w:sz w:val="16"/>
          <w:szCs w:val="16"/>
          <w:vertAlign w:val="subscript"/>
        </w:rPr>
        <w:t>2</w:t>
      </w:r>
      <w:r w:rsidRPr="00815A06">
        <w:rPr>
          <w:bCs/>
          <w:color w:val="000000"/>
          <w:spacing w:val="7"/>
          <w:sz w:val="16"/>
          <w:szCs w:val="16"/>
        </w:rPr>
        <w:t xml:space="preserve">) z </w:t>
      </w:r>
      <w:r w:rsidRPr="00815A06">
        <w:rPr>
          <w:color w:val="000000"/>
          <w:spacing w:val="5"/>
          <w:sz w:val="16"/>
          <w:szCs w:val="16"/>
        </w:rPr>
        <w:t xml:space="preserve">Mauna Loa (19°32' s.š., 155°34' z.d. - červená) a Jižního pólu </w:t>
      </w:r>
      <w:r w:rsidRPr="00815A06">
        <w:rPr>
          <w:color w:val="000000"/>
          <w:spacing w:val="2"/>
          <w:sz w:val="16"/>
          <w:szCs w:val="16"/>
        </w:rPr>
        <w:t>(89°59' j.š., 24°48' z.d. - černá) od roku 1958</w:t>
      </w:r>
      <w:r w:rsidRPr="00815A06">
        <w:rPr>
          <w:bCs/>
          <w:color w:val="000000"/>
          <w:spacing w:val="7"/>
          <w:sz w:val="16"/>
          <w:szCs w:val="16"/>
        </w:rPr>
        <w:t>; (b) parciální tlak rozpuštěného CO</w:t>
      </w:r>
      <w:r w:rsidRPr="00815A06">
        <w:rPr>
          <w:bCs/>
          <w:color w:val="000000"/>
          <w:spacing w:val="7"/>
          <w:sz w:val="16"/>
          <w:szCs w:val="16"/>
          <w:vertAlign w:val="subscript"/>
        </w:rPr>
        <w:t>2</w:t>
      </w:r>
      <w:r w:rsidRPr="00815A06">
        <w:rPr>
          <w:bCs/>
          <w:color w:val="000000"/>
          <w:spacing w:val="7"/>
          <w:sz w:val="16"/>
          <w:szCs w:val="16"/>
        </w:rPr>
        <w:t xml:space="preserve"> na povrchu oceánu (modré křivky) a hodnota pH </w:t>
      </w:r>
      <w:r w:rsidRPr="00815A06">
        <w:rPr>
          <w:bCs/>
          <w:i/>
          <w:color w:val="000000"/>
          <w:spacing w:val="7"/>
          <w:sz w:val="16"/>
          <w:szCs w:val="16"/>
        </w:rPr>
        <w:t>in situ</w:t>
      </w:r>
      <w:r w:rsidRPr="00815A06">
        <w:rPr>
          <w:bCs/>
          <w:color w:val="000000"/>
          <w:spacing w:val="7"/>
          <w:sz w:val="16"/>
          <w:szCs w:val="16"/>
        </w:rPr>
        <w:t xml:space="preserve"> (zelené křivky) jako míra acidity oceánské vody. Měření je ze tří stanic v Atlantickém oceánu </w:t>
      </w:r>
      <w:r w:rsidRPr="00815A06">
        <w:rPr>
          <w:color w:val="000000"/>
          <w:spacing w:val="3"/>
          <w:sz w:val="16"/>
          <w:szCs w:val="16"/>
        </w:rPr>
        <w:t xml:space="preserve">(29°10' s.š., 15°30' z.d. – tmavě modrá/tmavě zelená; 31°40' s.š., 64°10' z.d.- modrá/zelená) </w:t>
      </w:r>
      <w:r w:rsidRPr="00815A06">
        <w:rPr>
          <w:color w:val="000000"/>
          <w:spacing w:val="1"/>
          <w:sz w:val="16"/>
          <w:szCs w:val="16"/>
        </w:rPr>
        <w:t xml:space="preserve">a Tichého oceánu (22°45' s.š., 158°00' z.d.- </w:t>
      </w:r>
      <w:r w:rsidRPr="00815A06">
        <w:rPr>
          <w:color w:val="000000"/>
          <w:spacing w:val="3"/>
          <w:sz w:val="16"/>
          <w:szCs w:val="16"/>
        </w:rPr>
        <w:t>světle modrá/ světle zelená</w:t>
      </w:r>
      <w:r w:rsidRPr="00815A06">
        <w:rPr>
          <w:color w:val="000000"/>
          <w:spacing w:val="1"/>
          <w:sz w:val="16"/>
          <w:szCs w:val="16"/>
        </w:rPr>
        <w:t xml:space="preserve">). Všechny podrobnosti k datovým souborům jsou uvedeny ve Zprávě a v Dodatku k Technical Summary. </w:t>
      </w:r>
      <w:r w:rsidRPr="00815A06">
        <w:rPr>
          <w:color w:val="000000"/>
          <w:sz w:val="16"/>
          <w:szCs w:val="16"/>
        </w:rPr>
        <w:t xml:space="preserve">{obr. 2.1 a </w:t>
      </w:r>
      <w:r w:rsidRPr="00815A06">
        <w:rPr>
          <w:color w:val="000000"/>
          <w:spacing w:val="-1"/>
          <w:sz w:val="16"/>
          <w:szCs w:val="16"/>
        </w:rPr>
        <w:t>3.18; obr. TS.5}</w:t>
      </w:r>
    </w:p>
    <w:p w:rsidR="00815A06" w:rsidRDefault="00815A06" w:rsidP="00815A06">
      <w:pPr>
        <w:ind w:left="284" w:hanging="284"/>
        <w:jc w:val="center"/>
        <w:rPr>
          <w:b/>
        </w:rPr>
      </w:pPr>
    </w:p>
    <w:p w:rsidR="00815A06" w:rsidRDefault="00815A06" w:rsidP="00815A06">
      <w:pPr>
        <w:ind w:left="284" w:hanging="284"/>
        <w:rPr>
          <w:b/>
        </w:rPr>
      </w:pPr>
    </w:p>
    <w:p w:rsidR="00815A06" w:rsidRDefault="00815A06" w:rsidP="00815A06">
      <w:pPr>
        <w:ind w:left="360"/>
        <w:rPr>
          <w:b/>
          <w:sz w:val="28"/>
          <w:szCs w:val="28"/>
        </w:rPr>
      </w:pPr>
      <w:r w:rsidRPr="00815A06">
        <w:rPr>
          <w:b/>
          <w:sz w:val="28"/>
          <w:szCs w:val="28"/>
        </w:rPr>
        <w:lastRenderedPageBreak/>
        <w:t>C. Příčiny změn klimatu</w:t>
      </w:r>
    </w:p>
    <w:p w:rsidR="006C28EE" w:rsidRDefault="006C28EE" w:rsidP="006C28EE">
      <w:pPr>
        <w:shd w:val="clear" w:color="auto" w:fill="FFFFFF"/>
        <w:spacing w:before="264" w:line="250" w:lineRule="exact"/>
        <w:ind w:left="5"/>
        <w:jc w:val="both"/>
        <w:rPr>
          <w:i/>
          <w:iCs/>
          <w:color w:val="000000"/>
          <w:spacing w:val="11"/>
        </w:rPr>
      </w:pPr>
      <w:r w:rsidRPr="006C28EE">
        <w:rPr>
          <w:i/>
          <w:iCs/>
          <w:color w:val="000000"/>
          <w:spacing w:val="11"/>
        </w:rPr>
        <w:t>Hnacími silami změny klimatu jsou přírodní a antropogenní látky a procesy, které mění energetickou bilanci Země. Radiační působení</w:t>
      </w:r>
      <w:r w:rsidRPr="006C28EE">
        <w:rPr>
          <w:rStyle w:val="Znakapoznpodarou"/>
          <w:i/>
          <w:iCs/>
          <w:color w:val="000000"/>
          <w:spacing w:val="11"/>
        </w:rPr>
        <w:footnoteReference w:id="14"/>
      </w:r>
      <w:r w:rsidRPr="006C28EE">
        <w:rPr>
          <w:i/>
          <w:iCs/>
          <w:color w:val="000000"/>
          <w:spacing w:val="11"/>
        </w:rPr>
        <w:t xml:space="preserve"> (dále RF – Radiative forcing) vyjadřuje změny toků energie vyvolané změnami těchto hnacích sil pro rok 2011 oproti roku 1750, pokud není uvedeno jinak. Kladné radiační působení vede k oteplení povrchu, záporné radiační působení vede k jeho ochlazování. Radiační působení se odhaduje podle pozorování in situ a dálkových pozorování, vlastností skleníkových plynů a aerosolů a na základě výpočtů pomocí numerických modelů reprezentujících pozorované procesy. Některé emitované sloučeniny ovlivňují atmosférické koncentrace jiných látek. Radiační působení lze vykazovat podle změn koncentrace jednotlivých látek</w:t>
      </w:r>
      <w:r w:rsidR="009F08EE">
        <w:rPr>
          <w:rStyle w:val="Znakapoznpodarou"/>
          <w:i/>
          <w:iCs/>
          <w:color w:val="000000"/>
          <w:spacing w:val="11"/>
        </w:rPr>
        <w:footnoteReference w:id="15"/>
      </w:r>
      <w:r w:rsidRPr="006C28EE">
        <w:rPr>
          <w:i/>
          <w:iCs/>
          <w:color w:val="000000"/>
          <w:spacing w:val="11"/>
        </w:rPr>
        <w:t>. Alternativně lze vykazovat radiační působení určité sloučeniny podle emisí, což představuje bezprostřednější propojení s lidskou činností. Zahrnuje to příspěvky všech látek ovlivněných touto emisí. Celkové antropogenní radiační působení podle těchto dvou přístupů je identické, pokud jsou uvažovány všechny příčiny. Ačkoli jsou v tomto shrnutí používány oba přístupy, je zdůrazněno radiační působení podle emisí.</w:t>
      </w:r>
    </w:p>
    <w:p w:rsidR="006C28EE" w:rsidRDefault="00C3040A" w:rsidP="006C28EE">
      <w:pPr>
        <w:shd w:val="clear" w:color="auto" w:fill="FFFFFF"/>
        <w:spacing w:before="264" w:line="250" w:lineRule="exact"/>
        <w:ind w:left="5"/>
        <w:jc w:val="both"/>
        <w:rPr>
          <w:i/>
          <w:iCs/>
          <w:color w:val="000000"/>
          <w:spacing w:val="11"/>
        </w:rPr>
      </w:pPr>
      <w:r>
        <w:rPr>
          <w:b/>
          <w:noProof/>
          <w:sz w:val="28"/>
          <w:szCs w:val="28"/>
        </w:rPr>
        <mc:AlternateContent>
          <mc:Choice Requires="wps">
            <w:drawing>
              <wp:anchor distT="0" distB="0" distL="114300" distR="114300" simplePos="0" relativeHeight="251671552" behindDoc="0" locked="0" layoutInCell="1" allowOverlap="1">
                <wp:simplePos x="0" y="0"/>
                <wp:positionH relativeFrom="column">
                  <wp:posOffset>-29210</wp:posOffset>
                </wp:positionH>
                <wp:positionV relativeFrom="paragraph">
                  <wp:posOffset>37465</wp:posOffset>
                </wp:positionV>
                <wp:extent cx="6114415" cy="539115"/>
                <wp:effectExtent l="8890" t="8890" r="10795" b="7620"/>
                <wp:wrapNone/>
                <wp:docPr id="26"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4415" cy="539115"/>
                        </a:xfrm>
                        <a:prstGeom prst="rect">
                          <a:avLst/>
                        </a:prstGeom>
                        <a:solidFill>
                          <a:schemeClr val="accent6">
                            <a:lumMod val="40000"/>
                            <a:lumOff val="60000"/>
                          </a:schemeClr>
                        </a:solidFill>
                        <a:ln w="9525">
                          <a:solidFill>
                            <a:schemeClr val="accent6">
                              <a:lumMod val="40000"/>
                              <a:lumOff val="60000"/>
                            </a:schemeClr>
                          </a:solidFill>
                          <a:miter lim="800000"/>
                          <a:headEnd/>
                          <a:tailEnd/>
                        </a:ln>
                      </wps:spPr>
                      <wps:txbx>
                        <w:txbxContent>
                          <w:p w:rsidR="00C907E7" w:rsidRPr="0022327B" w:rsidRDefault="00C907E7" w:rsidP="0022327B">
                            <w:pPr>
                              <w:jc w:val="both"/>
                              <w:rPr>
                                <w:b/>
                                <w:color w:val="984806" w:themeColor="accent6" w:themeShade="80"/>
                              </w:rPr>
                            </w:pPr>
                            <w:r w:rsidRPr="0022327B">
                              <w:rPr>
                                <w:b/>
                                <w:color w:val="984806" w:themeColor="accent6" w:themeShade="80"/>
                              </w:rPr>
                              <w:t>Celkový RF je kladný a vedl k nárůstu energie v klimatickém systému. Největší příspěvek k celkovému RF je způsoben zvýšením atmosférické koncentrace CO</w:t>
                            </w:r>
                            <w:r w:rsidRPr="0022327B">
                              <w:rPr>
                                <w:b/>
                                <w:color w:val="984806" w:themeColor="accent6" w:themeShade="80"/>
                                <w:vertAlign w:val="subscript"/>
                              </w:rPr>
                              <w:t>2</w:t>
                            </w:r>
                            <w:r w:rsidRPr="0022327B">
                              <w:rPr>
                                <w:b/>
                                <w:color w:val="984806" w:themeColor="accent6" w:themeShade="80"/>
                              </w:rPr>
                              <w:t xml:space="preserve"> od roku 1750 (viz</w:t>
                            </w:r>
                            <w:r w:rsidRPr="0022327B">
                              <w:rPr>
                                <w:b/>
                                <w:color w:val="984806" w:themeColor="accent6" w:themeShade="80"/>
                                <w:spacing w:val="8"/>
                              </w:rPr>
                              <w:t xml:space="preserve"> obr. SPM.5). </w:t>
                            </w:r>
                            <w:r w:rsidRPr="0022327B">
                              <w:rPr>
                                <w:b/>
                                <w:color w:val="984806" w:themeColor="accent6" w:themeShade="80"/>
                                <w:spacing w:val="8"/>
                                <w:sz w:val="16"/>
                                <w:szCs w:val="16"/>
                              </w:rPr>
                              <w:t>{3.2, box 3.1, 8.3, 8.5}</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2" o:spid="_x0000_s1032" type="#_x0000_t202" style="position:absolute;left:0;text-align:left;margin-left:-2.3pt;margin-top:2.95pt;width:481.45pt;height:42.45pt;z-index:2516715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" fillcolor="#fbd4b4 [1305]" strokecolor="#fbd4b4 [1305]">
                <v:textbox style="mso-fit-shape-to-text:t">
                  <w:txbxContent>
                    <w:p w:rsidR="00C907E7" w:rsidRPr="0022327B" w:rsidRDefault="00C907E7" w:rsidP="0022327B">
                      <w:pPr>
                        <w:jc w:val="both"/>
                        <w:rPr>
                          <w:b/>
                          <w:color w:val="984806" w:themeColor="accent6" w:themeShade="80"/>
                        </w:rPr>
                      </w:pPr>
                      <w:r w:rsidRPr="0022327B">
                        <w:rPr>
                          <w:b/>
                          <w:color w:val="984806" w:themeColor="accent6" w:themeShade="80"/>
                        </w:rPr>
                        <w:t>Celkový RF je kladný a vedl k nárůstu energie v klimatickém systému. Největší příspěvek k celkovému RF je způsoben zvýšením atmosférické koncentrace CO</w:t>
                      </w:r>
                      <w:r w:rsidRPr="0022327B">
                        <w:rPr>
                          <w:b/>
                          <w:color w:val="984806" w:themeColor="accent6" w:themeShade="80"/>
                          <w:vertAlign w:val="subscript"/>
                        </w:rPr>
                        <w:t>2</w:t>
                      </w:r>
                      <w:r w:rsidRPr="0022327B">
                        <w:rPr>
                          <w:b/>
                          <w:color w:val="984806" w:themeColor="accent6" w:themeShade="80"/>
                        </w:rPr>
                        <w:t xml:space="preserve"> od roku 1750 (viz</w:t>
                      </w:r>
                      <w:r w:rsidRPr="0022327B">
                        <w:rPr>
                          <w:b/>
                          <w:color w:val="984806" w:themeColor="accent6" w:themeShade="80"/>
                          <w:spacing w:val="8"/>
                        </w:rPr>
                        <w:t xml:space="preserve"> obr. SPM.5). </w:t>
                      </w:r>
                      <w:r w:rsidRPr="0022327B">
                        <w:rPr>
                          <w:b/>
                          <w:color w:val="984806" w:themeColor="accent6" w:themeShade="80"/>
                          <w:spacing w:val="8"/>
                          <w:sz w:val="16"/>
                          <w:szCs w:val="16"/>
                        </w:rPr>
                        <w:t>{3.2, box 3.1, 8.3, 8.5}</w:t>
                      </w:r>
                    </w:p>
                  </w:txbxContent>
                </v:textbox>
              </v:shape>
            </w:pict>
          </mc:Fallback>
        </mc:AlternateContent>
      </w:r>
    </w:p>
    <w:p w:rsidR="006C28EE" w:rsidRDefault="006C28EE" w:rsidP="006C28EE">
      <w:pPr>
        <w:shd w:val="clear" w:color="auto" w:fill="FFFFFF"/>
        <w:spacing w:before="264" w:line="250" w:lineRule="exact"/>
        <w:ind w:left="5"/>
        <w:jc w:val="both"/>
        <w:rPr>
          <w:i/>
          <w:iCs/>
          <w:color w:val="000000"/>
          <w:spacing w:val="11"/>
        </w:rPr>
      </w:pPr>
    </w:p>
    <w:p w:rsidR="009F08EE" w:rsidRPr="009F08EE" w:rsidRDefault="009F08EE" w:rsidP="009F08EE">
      <w:pPr>
        <w:numPr>
          <w:ilvl w:val="0"/>
          <w:numId w:val="6"/>
        </w:numPr>
        <w:shd w:val="clear" w:color="auto" w:fill="FFFFFF"/>
        <w:spacing w:line="230" w:lineRule="exact"/>
        <w:ind w:left="284" w:right="14" w:hanging="284"/>
        <w:jc w:val="both"/>
      </w:pPr>
      <w:r w:rsidRPr="009F08EE">
        <w:t>Celkový antropogenní RF pro rok 2011 oproti roku 1750 je 2,29 [1,13 až 3,33] W.m</w:t>
      </w:r>
      <w:r w:rsidRPr="009F08EE">
        <w:rPr>
          <w:vertAlign w:val="superscript"/>
        </w:rPr>
        <w:t>-2</w:t>
      </w:r>
      <w:r w:rsidRPr="009F08EE">
        <w:t xml:space="preserve"> (viz obr. SPM.5) a od roku 1970 se zvýšil rychleji než v předchozích dekádách. Nejlepší odhad celkového antropogenního RF pro rok 2011 je o 43 % vyšší než odhad uvedený v hodnotící zprávě AR4 pro rok 2005. Je to způsobeno kombinací pokračujícího růstu koncentrací většiny skleníkových plynů a lepšími odhady RF v důsledku aerosolů, naznačujícími slabší čistý ochlazovací efekt (záporný RF). {8,5} </w:t>
      </w:r>
    </w:p>
    <w:p w:rsidR="009F08EE" w:rsidRPr="009F08EE" w:rsidRDefault="009F08EE" w:rsidP="009F08EE">
      <w:pPr>
        <w:shd w:val="clear" w:color="auto" w:fill="FFFFFF"/>
        <w:spacing w:line="230" w:lineRule="exact"/>
        <w:ind w:left="284" w:right="14" w:hanging="284"/>
        <w:jc w:val="both"/>
      </w:pPr>
    </w:p>
    <w:p w:rsidR="009F08EE" w:rsidRPr="009F08EE" w:rsidRDefault="009F08EE" w:rsidP="009F08EE">
      <w:pPr>
        <w:numPr>
          <w:ilvl w:val="0"/>
          <w:numId w:val="6"/>
        </w:numPr>
        <w:shd w:val="clear" w:color="auto" w:fill="FFFFFF"/>
        <w:spacing w:line="230" w:lineRule="exact"/>
        <w:ind w:left="284" w:right="14" w:hanging="284"/>
        <w:jc w:val="both"/>
      </w:pPr>
      <w:r w:rsidRPr="009F08EE">
        <w:t>RF z emisí dokonale promíchaných skleníkových plynů (CO</w:t>
      </w:r>
      <w:r w:rsidRPr="009F08EE">
        <w:rPr>
          <w:vertAlign w:val="subscript"/>
        </w:rPr>
        <w:t>2</w:t>
      </w:r>
      <w:r w:rsidRPr="009F08EE">
        <w:t>, CH</w:t>
      </w:r>
      <w:r w:rsidRPr="009F08EE">
        <w:rPr>
          <w:vertAlign w:val="subscript"/>
        </w:rPr>
        <w:t>4</w:t>
      </w:r>
      <w:r w:rsidRPr="009F08EE">
        <w:t>, N</w:t>
      </w:r>
      <w:r w:rsidRPr="009F08EE">
        <w:rPr>
          <w:vertAlign w:val="subscript"/>
        </w:rPr>
        <w:t>2</w:t>
      </w:r>
      <w:r w:rsidRPr="009F08EE">
        <w:t>O a halogenované uhlovodíky) pro rok 2011 ve vztahu k roku 1750 je 3,00 [2,22 až 3,78] W.m</w:t>
      </w:r>
      <w:r w:rsidRPr="009F08EE">
        <w:rPr>
          <w:vertAlign w:val="superscript"/>
        </w:rPr>
        <w:t>-2</w:t>
      </w:r>
      <w:r w:rsidRPr="009F08EE">
        <w:t xml:space="preserve"> (viz obr. SPM.5). RF ze změn koncentrací těchto plynů je 2,83 [2,26 až 3,40] W.m</w:t>
      </w:r>
      <w:r w:rsidRPr="009F08EE">
        <w:rPr>
          <w:vertAlign w:val="superscript"/>
        </w:rPr>
        <w:t>-2</w:t>
      </w:r>
      <w:r w:rsidRPr="009F08EE">
        <w:t xml:space="preserve">. {8.5} </w:t>
      </w:r>
    </w:p>
    <w:p w:rsidR="009F08EE" w:rsidRPr="009F08EE" w:rsidRDefault="009F08EE" w:rsidP="009F08EE">
      <w:pPr>
        <w:pStyle w:val="Odstavecseseznamem"/>
        <w:ind w:left="284" w:hanging="284"/>
        <w:jc w:val="both"/>
      </w:pPr>
    </w:p>
    <w:p w:rsidR="009F08EE" w:rsidRPr="009F08EE" w:rsidRDefault="009F08EE" w:rsidP="009F08EE">
      <w:pPr>
        <w:numPr>
          <w:ilvl w:val="0"/>
          <w:numId w:val="6"/>
        </w:numPr>
        <w:shd w:val="clear" w:color="auto" w:fill="FFFFFF"/>
        <w:spacing w:line="230" w:lineRule="exact"/>
        <w:ind w:left="284" w:right="14" w:hanging="284"/>
        <w:jc w:val="both"/>
      </w:pPr>
      <w:r w:rsidRPr="009F08EE">
        <w:t>Samotné emise CO</w:t>
      </w:r>
      <w:r w:rsidRPr="009F08EE">
        <w:rPr>
          <w:vertAlign w:val="subscript"/>
        </w:rPr>
        <w:t>2</w:t>
      </w:r>
      <w:r w:rsidRPr="009F08EE">
        <w:t xml:space="preserve"> způsobily RF ve výši 1,68 [1,33 až 2,03] W.m</w:t>
      </w:r>
      <w:r w:rsidRPr="009F08EE">
        <w:rPr>
          <w:vertAlign w:val="superscript"/>
        </w:rPr>
        <w:t>-2</w:t>
      </w:r>
      <w:r w:rsidRPr="009F08EE">
        <w:t xml:space="preserve"> (viz obr. SPM.5). Při započtení emisí dalších plynů s obsahem uhlíku, které také přispívají ke zvýšení koncentrace CO</w:t>
      </w:r>
      <w:r w:rsidRPr="009F08EE">
        <w:rPr>
          <w:vertAlign w:val="subscript"/>
        </w:rPr>
        <w:t>2</w:t>
      </w:r>
      <w:r w:rsidRPr="009F08EE">
        <w:t>, je RF CO</w:t>
      </w:r>
      <w:r w:rsidRPr="009F08EE">
        <w:rPr>
          <w:vertAlign w:val="subscript"/>
        </w:rPr>
        <w:t>2</w:t>
      </w:r>
      <w:r w:rsidRPr="009F08EE">
        <w:t xml:space="preserve"> 1,82 [1,46 až 2,18] W.m</w:t>
      </w:r>
      <w:r w:rsidRPr="009F08EE">
        <w:rPr>
          <w:vertAlign w:val="superscript"/>
        </w:rPr>
        <w:t>-2</w:t>
      </w:r>
      <w:r w:rsidRPr="009F08EE">
        <w:t xml:space="preserve">. {8.3, 8.5} </w:t>
      </w:r>
    </w:p>
    <w:p w:rsidR="009F08EE" w:rsidRPr="009F08EE" w:rsidRDefault="009F08EE" w:rsidP="009F08EE">
      <w:pPr>
        <w:pStyle w:val="Odstavecseseznamem"/>
        <w:ind w:left="284" w:hanging="284"/>
        <w:jc w:val="both"/>
      </w:pPr>
    </w:p>
    <w:p w:rsidR="009F08EE" w:rsidRPr="009F08EE" w:rsidRDefault="009F08EE" w:rsidP="009F08EE">
      <w:pPr>
        <w:numPr>
          <w:ilvl w:val="0"/>
          <w:numId w:val="6"/>
        </w:numPr>
        <w:shd w:val="clear" w:color="auto" w:fill="FFFFFF"/>
        <w:spacing w:line="230" w:lineRule="exact"/>
        <w:ind w:left="284" w:right="14" w:hanging="284"/>
        <w:jc w:val="both"/>
      </w:pPr>
      <w:r w:rsidRPr="009F08EE">
        <w:t>Samotné emise CH</w:t>
      </w:r>
      <w:r w:rsidRPr="009F08EE">
        <w:rPr>
          <w:vertAlign w:val="subscript"/>
        </w:rPr>
        <w:t>4</w:t>
      </w:r>
      <w:r w:rsidRPr="009F08EE">
        <w:t xml:space="preserve"> způsobily RF ve výši 0,97 [0,74 až 1,20] W.m</w:t>
      </w:r>
      <w:r w:rsidRPr="009F08EE">
        <w:rPr>
          <w:vertAlign w:val="superscript"/>
        </w:rPr>
        <w:t>-2</w:t>
      </w:r>
      <w:r w:rsidRPr="009F08EE">
        <w:t xml:space="preserve"> (viz obr. SPM.5). Je to mnohem více než odhad podle koncentrace ve výši 0,48 [0,38 až 0,58] W.m</w:t>
      </w:r>
      <w:r w:rsidRPr="009F08EE">
        <w:rPr>
          <w:vertAlign w:val="superscript"/>
        </w:rPr>
        <w:t>-2</w:t>
      </w:r>
      <w:r w:rsidRPr="009F08EE">
        <w:t xml:space="preserve"> (oproti AR4 nezměněno). Tento rozdíl v odhadech je způsoben změnami koncentrace ozónu a vodní páry ve stratosféře v důsledku emisí CH</w:t>
      </w:r>
      <w:r w:rsidRPr="009F08EE">
        <w:rPr>
          <w:vertAlign w:val="subscript"/>
        </w:rPr>
        <w:t>4</w:t>
      </w:r>
      <w:r w:rsidRPr="009F08EE">
        <w:t xml:space="preserve"> a dalších emisí, které nepřímo ovlivňují CH</w:t>
      </w:r>
      <w:r w:rsidRPr="009F08EE">
        <w:rPr>
          <w:vertAlign w:val="subscript"/>
        </w:rPr>
        <w:t>4</w:t>
      </w:r>
      <w:r w:rsidR="00C01A69">
        <w:t>. {8.</w:t>
      </w:r>
      <w:r w:rsidRPr="009F08EE">
        <w:t xml:space="preserve">3, 8.5} </w:t>
      </w:r>
    </w:p>
    <w:p w:rsidR="009F08EE" w:rsidRPr="009F08EE" w:rsidRDefault="009F08EE" w:rsidP="009F08EE">
      <w:pPr>
        <w:pStyle w:val="Odstavecseseznamem"/>
        <w:ind w:left="284" w:hanging="284"/>
        <w:jc w:val="both"/>
      </w:pPr>
    </w:p>
    <w:p w:rsidR="009F08EE" w:rsidRPr="009F08EE" w:rsidRDefault="009F08EE" w:rsidP="009F08EE">
      <w:pPr>
        <w:numPr>
          <w:ilvl w:val="0"/>
          <w:numId w:val="6"/>
        </w:numPr>
        <w:shd w:val="clear" w:color="auto" w:fill="FFFFFF"/>
        <w:spacing w:line="230" w:lineRule="exact"/>
        <w:ind w:left="284" w:right="14" w:hanging="284"/>
        <w:jc w:val="both"/>
      </w:pPr>
      <w:r w:rsidRPr="009F08EE">
        <w:t>Emise halogenovaných uhlovodíků, narušujících stratosférický ozón, způsobily čistý kladný RF ve výši 0,18 [0,01 až 0,35] W.m</w:t>
      </w:r>
      <w:r w:rsidRPr="009F08EE">
        <w:rPr>
          <w:vertAlign w:val="superscript"/>
        </w:rPr>
        <w:t>-2</w:t>
      </w:r>
      <w:r w:rsidRPr="009F08EE">
        <w:t xml:space="preserve"> (viz obr. SPM.5). Jejich vlastní kladný RF převážil záporný RF z narušení ozónové vrstvy, který vyvolaly. Kladný RF ze všech halogenovaných uhlovodíků je podobný hodnotě uvedené v hodnotící zprávě AR4; RF z CFC je nižší, ale zvyšuje se z řady jejich náhrad. {8.3, 8.5} </w:t>
      </w:r>
    </w:p>
    <w:p w:rsidR="009F08EE" w:rsidRPr="009F08EE" w:rsidRDefault="009F08EE" w:rsidP="009F08EE">
      <w:pPr>
        <w:pStyle w:val="Odstavecseseznamem"/>
        <w:ind w:left="284" w:hanging="284"/>
        <w:jc w:val="both"/>
      </w:pPr>
    </w:p>
    <w:p w:rsidR="009F08EE" w:rsidRPr="009F08EE" w:rsidRDefault="009F08EE" w:rsidP="009F08EE">
      <w:pPr>
        <w:numPr>
          <w:ilvl w:val="0"/>
          <w:numId w:val="6"/>
        </w:numPr>
        <w:shd w:val="clear" w:color="auto" w:fill="FFFFFF"/>
        <w:spacing w:line="230" w:lineRule="exact"/>
        <w:ind w:left="284" w:right="14" w:hanging="284"/>
        <w:jc w:val="both"/>
      </w:pPr>
      <w:r w:rsidRPr="009F08EE">
        <w:t xml:space="preserve">K celkovému antropogennímu RF přispívají emise plynů s krátkou životností. Je </w:t>
      </w:r>
      <w:r w:rsidRPr="009F08EE">
        <w:rPr>
          <w:i/>
        </w:rPr>
        <w:t>prakticky jisté</w:t>
      </w:r>
      <w:r w:rsidRPr="009F08EE">
        <w:t>, že emise oxidu uhelnatého vedou ke kladnému RF, zatímco emise oxidů dusíku (NO</w:t>
      </w:r>
      <w:r w:rsidRPr="009F08EE">
        <w:rPr>
          <w:vertAlign w:val="subscript"/>
        </w:rPr>
        <w:t>x</w:t>
      </w:r>
      <w:r w:rsidRPr="009F08EE">
        <w:t xml:space="preserve">) </w:t>
      </w:r>
      <w:r w:rsidRPr="009F08EE">
        <w:rPr>
          <w:i/>
        </w:rPr>
        <w:t>pravděpodobně</w:t>
      </w:r>
      <w:r w:rsidRPr="009F08EE">
        <w:t xml:space="preserve"> vedly k zápornému RF (viz obr. SPM.5). {8.3, 8.5}</w:t>
      </w:r>
    </w:p>
    <w:p w:rsidR="009F08EE" w:rsidRPr="009F08EE" w:rsidRDefault="009F08EE" w:rsidP="009F08EE">
      <w:pPr>
        <w:pStyle w:val="Odstavecseseznamem"/>
        <w:ind w:left="284" w:hanging="284"/>
        <w:jc w:val="both"/>
      </w:pPr>
    </w:p>
    <w:p w:rsidR="009F08EE" w:rsidRPr="009F08EE" w:rsidRDefault="009F08EE" w:rsidP="009F08EE">
      <w:pPr>
        <w:numPr>
          <w:ilvl w:val="0"/>
          <w:numId w:val="6"/>
        </w:numPr>
        <w:shd w:val="clear" w:color="auto" w:fill="FFFFFF"/>
        <w:spacing w:line="230" w:lineRule="exact"/>
        <w:ind w:left="284" w:right="14" w:hanging="284"/>
        <w:jc w:val="both"/>
      </w:pPr>
      <w:r w:rsidRPr="009F08EE">
        <w:t>RF z celkového vlivu aerosolů v atmosféře, který zahrnuje změny oblačnosti v důsledku aerosolů, činí -0,9 [-1,9 až -0,1] W.m</w:t>
      </w:r>
      <w:r w:rsidRPr="009F08EE">
        <w:rPr>
          <w:vertAlign w:val="superscript"/>
        </w:rPr>
        <w:t>-2</w:t>
      </w:r>
      <w:r w:rsidRPr="009F08EE">
        <w:t xml:space="preserve"> (</w:t>
      </w:r>
      <w:r w:rsidRPr="009F08EE">
        <w:rPr>
          <w:i/>
        </w:rPr>
        <w:t>střední spolehlivost</w:t>
      </w:r>
      <w:r w:rsidRPr="009F08EE">
        <w:t xml:space="preserve">) a je výsledkem záporného RF většiny aerosolů a kladného </w:t>
      </w:r>
      <w:r w:rsidRPr="009F08EE">
        <w:lastRenderedPageBreak/>
        <w:t xml:space="preserve">příspěvku sazí absorbujících sluneční záření. Existuje </w:t>
      </w:r>
      <w:r w:rsidRPr="009F08EE">
        <w:rPr>
          <w:i/>
        </w:rPr>
        <w:t>vysoká spolehlivost</w:t>
      </w:r>
      <w:r w:rsidRPr="009F08EE">
        <w:t xml:space="preserve">, že aerosoly a jejich interakce s mraky vykompenzovaly podstatnou část průměrného globálního RF dokonale promíchaných skleníkových plynů. Nadále přispívají k největší neurčitosti odhadu celkového RF. {7.5, 8.3, 8.5} </w:t>
      </w:r>
    </w:p>
    <w:p w:rsidR="009F08EE" w:rsidRPr="009F08EE" w:rsidRDefault="009F08EE" w:rsidP="009F08EE">
      <w:pPr>
        <w:pStyle w:val="Odstavecseseznamem"/>
        <w:ind w:left="284" w:hanging="284"/>
        <w:jc w:val="both"/>
      </w:pPr>
    </w:p>
    <w:p w:rsidR="009F08EE" w:rsidRPr="009F08EE" w:rsidRDefault="009F08EE" w:rsidP="009F08EE">
      <w:pPr>
        <w:numPr>
          <w:ilvl w:val="0"/>
          <w:numId w:val="6"/>
        </w:numPr>
        <w:shd w:val="clear" w:color="auto" w:fill="FFFFFF"/>
        <w:spacing w:line="230" w:lineRule="exact"/>
        <w:ind w:left="284" w:right="14" w:hanging="284"/>
        <w:jc w:val="both"/>
      </w:pPr>
      <w:r w:rsidRPr="009F08EE">
        <w:t>Působení stratosférických vulkanických aerosolů může mít velký vliv na klima ještě několik let po sopečné erupci. Několik malých erupcí způsobilo v letech 2008-2011 RF ve výši -0,11 [-0,15 až -0,08] W.m</w:t>
      </w:r>
      <w:r w:rsidRPr="009F08EE">
        <w:rPr>
          <w:vertAlign w:val="superscript"/>
        </w:rPr>
        <w:t>-2</w:t>
      </w:r>
      <w:r w:rsidRPr="009F08EE">
        <w:t xml:space="preserve">, což je zhruba dvakrát více než v letech 1999-2002. {8.4} </w:t>
      </w:r>
    </w:p>
    <w:p w:rsidR="009F08EE" w:rsidRPr="009F08EE" w:rsidRDefault="009F08EE" w:rsidP="009F08EE">
      <w:pPr>
        <w:pStyle w:val="Odstavecseseznamem"/>
        <w:ind w:left="284" w:hanging="284"/>
        <w:jc w:val="both"/>
      </w:pPr>
    </w:p>
    <w:p w:rsidR="009F08EE" w:rsidRPr="009F08EE" w:rsidRDefault="009F08EE" w:rsidP="009F08EE">
      <w:pPr>
        <w:numPr>
          <w:ilvl w:val="0"/>
          <w:numId w:val="6"/>
        </w:numPr>
        <w:shd w:val="clear" w:color="auto" w:fill="FFFFFF"/>
        <w:spacing w:line="230" w:lineRule="exact"/>
        <w:ind w:left="284" w:right="14" w:hanging="284"/>
        <w:jc w:val="both"/>
      </w:pPr>
      <w:r w:rsidRPr="009F08EE">
        <w:t>RF v důsledku změn intenzity slunečního záření se odhaduje na 0,05 [0,00 až 0,10] W.m</w:t>
      </w:r>
      <w:r w:rsidRPr="009F08EE">
        <w:rPr>
          <w:vertAlign w:val="superscript"/>
        </w:rPr>
        <w:t>-2</w:t>
      </w:r>
      <w:r w:rsidRPr="009F08EE">
        <w:t>. Družicová pozorování změn celkové intenzity slunečního záření mezi lety 1978 a 2011 naznačují, že poslední solární minimum bylo nižší než předchozí dvě. Výsledkem je RF ve výši -0,04 [-0,08 až 0,00] W.m</w:t>
      </w:r>
      <w:r w:rsidRPr="009F08EE">
        <w:rPr>
          <w:vertAlign w:val="superscript"/>
        </w:rPr>
        <w:t>-2</w:t>
      </w:r>
      <w:r w:rsidRPr="009F08EE">
        <w:t xml:space="preserve"> mezi dvěma posledními minimy v roce 2008 a 1986. {8.4} </w:t>
      </w:r>
    </w:p>
    <w:p w:rsidR="009F08EE" w:rsidRPr="009F08EE" w:rsidRDefault="009F08EE" w:rsidP="009F08EE">
      <w:pPr>
        <w:pStyle w:val="Odstavecseseznamem"/>
        <w:ind w:left="284" w:hanging="284"/>
        <w:jc w:val="both"/>
      </w:pPr>
    </w:p>
    <w:p w:rsidR="006C28EE" w:rsidRPr="009F08EE" w:rsidRDefault="009F08EE" w:rsidP="009F08EE">
      <w:pPr>
        <w:pStyle w:val="Odstavecseseznamem"/>
        <w:numPr>
          <w:ilvl w:val="0"/>
          <w:numId w:val="8"/>
        </w:numPr>
        <w:shd w:val="clear" w:color="auto" w:fill="FFFFFF"/>
        <w:spacing w:before="264" w:line="250" w:lineRule="exact"/>
        <w:ind w:left="284" w:hanging="284"/>
        <w:jc w:val="both"/>
        <w:rPr>
          <w:iCs/>
          <w:color w:val="000000"/>
          <w:spacing w:val="11"/>
        </w:rPr>
      </w:pPr>
      <w:r w:rsidRPr="009F08EE">
        <w:t>S výjimkou krátkých období po velkých sopečných erupcích znamenal v minulém století celkový přirozený RF ze změn intenzity slunečního záření a stratosférických vulkanických aerosolů jen malý příspěvek k čistému RF. {8.5}</w:t>
      </w:r>
    </w:p>
    <w:p w:rsidR="00396639" w:rsidRDefault="00396639" w:rsidP="009F08EE">
      <w:pPr>
        <w:shd w:val="clear" w:color="auto" w:fill="FFFFFF"/>
        <w:jc w:val="both"/>
        <w:rPr>
          <w:b/>
          <w:color w:val="000000"/>
          <w:spacing w:val="2"/>
          <w:sz w:val="16"/>
          <w:szCs w:val="16"/>
        </w:rPr>
      </w:pPr>
    </w:p>
    <w:p w:rsidR="00396639" w:rsidRDefault="00396639" w:rsidP="009F08EE">
      <w:pPr>
        <w:shd w:val="clear" w:color="auto" w:fill="FFFFFF"/>
        <w:jc w:val="both"/>
        <w:rPr>
          <w:b/>
          <w:color w:val="000000"/>
          <w:spacing w:val="2"/>
          <w:sz w:val="16"/>
          <w:szCs w:val="16"/>
        </w:rPr>
      </w:pPr>
      <w:r>
        <w:rPr>
          <w:b/>
          <w:noProof/>
          <w:color w:val="000000"/>
          <w:spacing w:val="2"/>
          <w:sz w:val="16"/>
          <w:szCs w:val="16"/>
        </w:rPr>
        <w:drawing>
          <wp:anchor distT="0" distB="0" distL="114300" distR="114300" simplePos="0" relativeHeight="251672576" behindDoc="0" locked="0" layoutInCell="1" allowOverlap="1">
            <wp:simplePos x="0" y="0"/>
            <wp:positionH relativeFrom="column">
              <wp:posOffset>192405</wp:posOffset>
            </wp:positionH>
            <wp:positionV relativeFrom="paragraph">
              <wp:posOffset>2540</wp:posOffset>
            </wp:positionV>
            <wp:extent cx="5807075" cy="4936490"/>
            <wp:effectExtent l="19050" t="0" r="3175" b="0"/>
            <wp:wrapTopAndBottom/>
            <wp:docPr id="9" name="Obrázek 5" descr="SPM Fig5_final-C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M Fig5_final-CZ.jpg"/>
                    <pic:cNvPicPr/>
                  </pic:nvPicPr>
                  <pic:blipFill>
                    <a:blip r:embed="rId17" cstate="print"/>
                    <a:stretch>
                      <a:fillRect/>
                    </a:stretch>
                  </pic:blipFill>
                  <pic:spPr>
                    <a:xfrm>
                      <a:off x="0" y="0"/>
                      <a:ext cx="5807075" cy="4936490"/>
                    </a:xfrm>
                    <a:prstGeom prst="rect">
                      <a:avLst/>
                    </a:prstGeom>
                  </pic:spPr>
                </pic:pic>
              </a:graphicData>
            </a:graphic>
          </wp:anchor>
        </w:drawing>
      </w:r>
    </w:p>
    <w:p w:rsidR="009F08EE" w:rsidRDefault="009F08EE" w:rsidP="009F08EE">
      <w:pPr>
        <w:shd w:val="clear" w:color="auto" w:fill="FFFFFF"/>
        <w:jc w:val="both"/>
        <w:rPr>
          <w:color w:val="000000"/>
          <w:spacing w:val="1"/>
          <w:sz w:val="16"/>
          <w:szCs w:val="16"/>
        </w:rPr>
      </w:pPr>
      <w:r w:rsidRPr="009F08EE">
        <w:rPr>
          <w:b/>
          <w:color w:val="000000"/>
          <w:spacing w:val="2"/>
          <w:sz w:val="16"/>
          <w:szCs w:val="16"/>
        </w:rPr>
        <w:t>Obr</w:t>
      </w:r>
      <w:r>
        <w:rPr>
          <w:b/>
          <w:color w:val="000000"/>
          <w:spacing w:val="2"/>
          <w:sz w:val="16"/>
          <w:szCs w:val="16"/>
        </w:rPr>
        <w:t>.</w:t>
      </w:r>
      <w:r w:rsidRPr="009F08EE">
        <w:rPr>
          <w:b/>
          <w:bCs/>
          <w:color w:val="000000"/>
          <w:spacing w:val="2"/>
          <w:sz w:val="16"/>
          <w:szCs w:val="16"/>
        </w:rPr>
        <w:t xml:space="preserve">SPM.5: </w:t>
      </w:r>
      <w:r w:rsidRPr="009F08EE">
        <w:rPr>
          <w:bCs/>
          <w:color w:val="000000"/>
          <w:spacing w:val="2"/>
          <w:sz w:val="16"/>
          <w:szCs w:val="16"/>
        </w:rPr>
        <w:t>Odhady RF pro rok 2011 v porovnání s rokem 1750 a agregované neurčitosti hlavních příčin klimatické změny. Hodnoty jsou globální průměry RF</w:t>
      </w:r>
      <w:r w:rsidR="00396639">
        <w:rPr>
          <w:bCs/>
          <w:color w:val="000000"/>
          <w:spacing w:val="2"/>
          <w:sz w:val="16"/>
          <w:szCs w:val="16"/>
          <w:vertAlign w:val="superscript"/>
        </w:rPr>
        <w:t>14</w:t>
      </w:r>
      <w:r w:rsidR="00396639">
        <w:rPr>
          <w:bCs/>
          <w:color w:val="000000"/>
          <w:spacing w:val="2"/>
          <w:sz w:val="16"/>
          <w:szCs w:val="16"/>
        </w:rPr>
        <w:t>,</w:t>
      </w:r>
      <w:r w:rsidRPr="009F08EE">
        <w:rPr>
          <w:bCs/>
          <w:color w:val="000000"/>
          <w:spacing w:val="2"/>
          <w:sz w:val="16"/>
          <w:szCs w:val="16"/>
        </w:rPr>
        <w:t xml:space="preserve"> rozdělené podle emitovaných sloučenin či procesů, jejichž výsledkem je kombinace příčin. Nejlepší odhady čistého RF jsou znázorněny jako černé kosočtverečky s odpovídající spolehlivostí; na pravé straně obrázku jsou uvedeny číselné hodnoty společně s  úrovní spolehlivosti čistého působení (VH – </w:t>
      </w:r>
      <w:r w:rsidRPr="009F08EE">
        <w:rPr>
          <w:bCs/>
          <w:i/>
          <w:color w:val="000000"/>
          <w:spacing w:val="2"/>
          <w:sz w:val="16"/>
          <w:szCs w:val="16"/>
        </w:rPr>
        <w:t>velmi vysoká</w:t>
      </w:r>
      <w:r w:rsidRPr="009F08EE">
        <w:rPr>
          <w:bCs/>
          <w:color w:val="000000"/>
          <w:spacing w:val="2"/>
          <w:sz w:val="16"/>
          <w:szCs w:val="16"/>
        </w:rPr>
        <w:t xml:space="preserve">, H – </w:t>
      </w:r>
      <w:r w:rsidRPr="009F08EE">
        <w:rPr>
          <w:bCs/>
          <w:i/>
          <w:color w:val="000000"/>
          <w:spacing w:val="2"/>
          <w:sz w:val="16"/>
          <w:szCs w:val="16"/>
        </w:rPr>
        <w:t>vysoká</w:t>
      </w:r>
      <w:r w:rsidRPr="009F08EE">
        <w:rPr>
          <w:bCs/>
          <w:color w:val="000000"/>
          <w:spacing w:val="2"/>
          <w:sz w:val="16"/>
          <w:szCs w:val="16"/>
        </w:rPr>
        <w:t xml:space="preserve">, M – </w:t>
      </w:r>
      <w:r w:rsidRPr="009F08EE">
        <w:rPr>
          <w:bCs/>
          <w:i/>
          <w:color w:val="000000"/>
          <w:spacing w:val="2"/>
          <w:sz w:val="16"/>
          <w:szCs w:val="16"/>
        </w:rPr>
        <w:t>střední</w:t>
      </w:r>
      <w:r w:rsidRPr="009F08EE">
        <w:rPr>
          <w:bCs/>
          <w:color w:val="000000"/>
          <w:spacing w:val="2"/>
          <w:sz w:val="16"/>
          <w:szCs w:val="16"/>
        </w:rPr>
        <w:t xml:space="preserve">, L – </w:t>
      </w:r>
      <w:r w:rsidRPr="009F08EE">
        <w:rPr>
          <w:bCs/>
          <w:i/>
          <w:color w:val="000000"/>
          <w:spacing w:val="2"/>
          <w:sz w:val="16"/>
          <w:szCs w:val="16"/>
        </w:rPr>
        <w:t>nízká</w:t>
      </w:r>
      <w:r w:rsidRPr="009F08EE">
        <w:rPr>
          <w:bCs/>
          <w:color w:val="000000"/>
          <w:spacing w:val="2"/>
          <w:sz w:val="16"/>
          <w:szCs w:val="16"/>
        </w:rPr>
        <w:t xml:space="preserve">, VL – </w:t>
      </w:r>
      <w:r w:rsidRPr="009F08EE">
        <w:rPr>
          <w:bCs/>
          <w:i/>
          <w:color w:val="000000"/>
          <w:spacing w:val="2"/>
          <w:sz w:val="16"/>
          <w:szCs w:val="16"/>
        </w:rPr>
        <w:t>velmi nízká</w:t>
      </w:r>
      <w:r w:rsidRPr="009F08EE">
        <w:rPr>
          <w:bCs/>
          <w:color w:val="000000"/>
          <w:spacing w:val="2"/>
          <w:sz w:val="16"/>
          <w:szCs w:val="16"/>
        </w:rPr>
        <w:t>). RF albeda sazí na sněhu a ledu je zahrnuto v kolonce aerosoly- saze. Malé působení kondenzačních pruhů (0,05 W m</w:t>
      </w:r>
      <w:r w:rsidRPr="009F08EE">
        <w:rPr>
          <w:bCs/>
          <w:color w:val="000000"/>
          <w:spacing w:val="2"/>
          <w:sz w:val="16"/>
          <w:szCs w:val="16"/>
          <w:vertAlign w:val="superscript"/>
        </w:rPr>
        <w:t>-2</w:t>
      </w:r>
      <w:r w:rsidRPr="009F08EE">
        <w:rPr>
          <w:bCs/>
          <w:color w:val="000000"/>
          <w:spacing w:val="2"/>
          <w:sz w:val="16"/>
          <w:szCs w:val="16"/>
        </w:rPr>
        <w:t>, včetně oblaků typu cirrus vzniklých z kondenzačních pruhů) a HFC, PFC a SF</w:t>
      </w:r>
      <w:r w:rsidRPr="009F08EE">
        <w:rPr>
          <w:bCs/>
          <w:color w:val="000000"/>
          <w:spacing w:val="2"/>
          <w:sz w:val="16"/>
          <w:szCs w:val="16"/>
          <w:vertAlign w:val="subscript"/>
        </w:rPr>
        <w:t>6</w:t>
      </w:r>
      <w:r w:rsidRPr="009F08EE">
        <w:rPr>
          <w:bCs/>
          <w:color w:val="000000"/>
          <w:spacing w:val="2"/>
          <w:sz w:val="16"/>
          <w:szCs w:val="16"/>
        </w:rPr>
        <w:t xml:space="preserve"> (celkem 0,03 W.m</w:t>
      </w:r>
      <w:r w:rsidRPr="009F08EE">
        <w:rPr>
          <w:bCs/>
          <w:color w:val="000000"/>
          <w:spacing w:val="2"/>
          <w:sz w:val="16"/>
          <w:szCs w:val="16"/>
          <w:vertAlign w:val="superscript"/>
        </w:rPr>
        <w:t>-2</w:t>
      </w:r>
      <w:r w:rsidRPr="009F08EE">
        <w:rPr>
          <w:bCs/>
          <w:color w:val="000000"/>
          <w:spacing w:val="2"/>
          <w:sz w:val="16"/>
          <w:szCs w:val="16"/>
        </w:rPr>
        <w:t xml:space="preserve">) není znázorněno. RF podle koncentrace plynů lze získat sečtením pruhů stejné barvy. Sopečná činnost není zahrnuta, protože její epizodický charakter znesnadňuje srovnání s jinými mechanizmy působení. Celkové antropogenní RF je uvedeno za tři různé roky v porovnání s rokem 1750. Další odborné informace, včetně rozsahů neurčitosti souvisejících s jednotlivými komponenty a procesy, jsou uvedeny v Dodatku k Technical Summary. </w:t>
      </w:r>
      <w:r w:rsidRPr="009F08EE">
        <w:rPr>
          <w:color w:val="000000"/>
          <w:sz w:val="16"/>
          <w:szCs w:val="16"/>
        </w:rPr>
        <w:t xml:space="preserve">{8.5; obr. </w:t>
      </w:r>
      <w:r w:rsidRPr="009F08EE">
        <w:rPr>
          <w:color w:val="000000"/>
          <w:spacing w:val="1"/>
          <w:sz w:val="16"/>
          <w:szCs w:val="16"/>
        </w:rPr>
        <w:t>8.14-8.18; obr. TS.6 a TS.7}</w:t>
      </w:r>
    </w:p>
    <w:p w:rsidR="00396639" w:rsidRDefault="00396639" w:rsidP="009F08EE">
      <w:pPr>
        <w:shd w:val="clear" w:color="auto" w:fill="FFFFFF"/>
        <w:jc w:val="both"/>
        <w:rPr>
          <w:color w:val="000000"/>
          <w:spacing w:val="1"/>
          <w:sz w:val="16"/>
          <w:szCs w:val="16"/>
        </w:rPr>
      </w:pPr>
    </w:p>
    <w:p w:rsidR="00396639" w:rsidRDefault="00396639" w:rsidP="009F08EE">
      <w:pPr>
        <w:shd w:val="clear" w:color="auto" w:fill="FFFFFF"/>
        <w:jc w:val="both"/>
        <w:rPr>
          <w:b/>
          <w:color w:val="000000"/>
          <w:spacing w:val="2"/>
          <w:sz w:val="28"/>
          <w:szCs w:val="28"/>
        </w:rPr>
      </w:pPr>
      <w:r w:rsidRPr="00396639">
        <w:rPr>
          <w:b/>
          <w:color w:val="000000"/>
          <w:spacing w:val="2"/>
          <w:sz w:val="28"/>
          <w:szCs w:val="28"/>
        </w:rPr>
        <w:lastRenderedPageBreak/>
        <w:t>D. Pochopení klimatického systému a jeho nedávných změn</w:t>
      </w:r>
    </w:p>
    <w:p w:rsidR="00396639" w:rsidRDefault="00396639" w:rsidP="00396639">
      <w:pPr>
        <w:shd w:val="clear" w:color="auto" w:fill="FFFFFF"/>
        <w:spacing w:before="254" w:line="250" w:lineRule="exact"/>
        <w:ind w:left="5" w:right="96"/>
        <w:jc w:val="both"/>
        <w:rPr>
          <w:i/>
          <w:iCs/>
          <w:color w:val="000000"/>
        </w:rPr>
      </w:pPr>
      <w:r w:rsidRPr="00396639">
        <w:rPr>
          <w:i/>
          <w:iCs/>
          <w:color w:val="000000"/>
        </w:rPr>
        <w:t>Pochopení nedávných změn v klimatickém systému je výsledkem kombinace pozorování, studií zpětných vazeb a modelových simulací. Při posuzování schopnosti klimatických modelů simulovat nedávné změny je třeba vzít v úvahu stav všech modelovaných složek klimatického systému na začátku simulace a přirozené a antropogenní působení použité na řízení těchto modelů. Oproti hodnotící zprávě AR4 máme nyní k dispozici podrobnější a delší řady pozorování a lepší klimatické modely, což umožňuje přiřadit lidský příspěvek k detekovaným změnám u většího počtu složek klimatického systému.</w:t>
      </w:r>
    </w:p>
    <w:p w:rsidR="00396639" w:rsidRPr="00396639" w:rsidRDefault="00C3040A" w:rsidP="00396639">
      <w:pPr>
        <w:shd w:val="clear" w:color="auto" w:fill="FFFFFF"/>
        <w:spacing w:before="254" w:line="250" w:lineRule="exact"/>
        <w:ind w:left="5" w:right="96"/>
        <w:jc w:val="both"/>
        <w:rPr>
          <w:i/>
          <w:iCs/>
          <w:color w:val="000000"/>
        </w:rPr>
      </w:pPr>
      <w:r>
        <w:rPr>
          <w:i/>
          <w:iCs/>
          <w:noProof/>
          <w:color w:val="000000"/>
        </w:rPr>
        <mc:AlternateContent>
          <mc:Choice Requires="wps">
            <w:drawing>
              <wp:anchor distT="0" distB="0" distL="114300" distR="114300" simplePos="0" relativeHeight="251673600" behindDoc="0" locked="0" layoutInCell="1" allowOverlap="1">
                <wp:simplePos x="0" y="0"/>
                <wp:positionH relativeFrom="column">
                  <wp:posOffset>15875</wp:posOffset>
                </wp:positionH>
                <wp:positionV relativeFrom="paragraph">
                  <wp:posOffset>40005</wp:posOffset>
                </wp:positionV>
                <wp:extent cx="6114415" cy="393065"/>
                <wp:effectExtent l="6350" t="11430" r="13335" b="11430"/>
                <wp:wrapNone/>
                <wp:docPr id="25"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4415" cy="393065"/>
                        </a:xfrm>
                        <a:prstGeom prst="rect">
                          <a:avLst/>
                        </a:prstGeom>
                        <a:solidFill>
                          <a:schemeClr val="accent6">
                            <a:lumMod val="40000"/>
                            <a:lumOff val="60000"/>
                          </a:schemeClr>
                        </a:solidFill>
                        <a:ln w="9525">
                          <a:solidFill>
                            <a:schemeClr val="accent6">
                              <a:lumMod val="40000"/>
                              <a:lumOff val="60000"/>
                            </a:schemeClr>
                          </a:solidFill>
                          <a:miter lim="800000"/>
                          <a:headEnd/>
                          <a:tailEnd/>
                        </a:ln>
                      </wps:spPr>
                      <wps:txbx>
                        <w:txbxContent>
                          <w:p w:rsidR="00C907E7" w:rsidRPr="00786EA5" w:rsidRDefault="00C907E7" w:rsidP="00332163">
                            <w:pPr>
                              <w:jc w:val="both"/>
                              <w:rPr>
                                <w:b/>
                                <w:color w:val="984806" w:themeColor="accent6" w:themeShade="80"/>
                                <w:sz w:val="16"/>
                                <w:szCs w:val="16"/>
                              </w:rPr>
                            </w:pPr>
                            <w:r w:rsidRPr="00396639">
                              <w:rPr>
                                <w:b/>
                                <w:color w:val="984806" w:themeColor="accent6" w:themeShade="80"/>
                              </w:rPr>
                              <w:t>Lidský vliv na klimatický systém je evidentní. Je to zřejmé z rostoucí koncentrace skleníkových plynů v atmosféře, kladného RF, pozorovaného oteplení a pochopení klimatického systému.</w:t>
                            </w:r>
                            <w:r w:rsidRPr="00396639">
                              <w:rPr>
                                <w:b/>
                                <w:color w:val="984806" w:themeColor="accent6" w:themeShade="80"/>
                                <w:spacing w:val="8"/>
                              </w:rPr>
                              <w:t xml:space="preserve"> </w:t>
                            </w:r>
                            <w:r w:rsidRPr="00786EA5">
                              <w:rPr>
                                <w:b/>
                                <w:color w:val="984806" w:themeColor="accent6" w:themeShade="80"/>
                                <w:spacing w:val="8"/>
                                <w:sz w:val="16"/>
                                <w:szCs w:val="16"/>
                              </w:rPr>
                              <w:t>{2-14}</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3" o:spid="_x0000_s1033" type="#_x0000_t202" style="position:absolute;left:0;text-align:left;margin-left:1.25pt;margin-top:3.15pt;width:481.45pt;height:30.95pt;z-index:2516736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" fillcolor="#fbd4b4 [1305]" strokecolor="#fbd4b4 [1305]">
                <v:textbox style="mso-fit-shape-to-text:t">
                  <w:txbxContent>
                    <w:p w:rsidR="00C907E7" w:rsidRPr="00786EA5" w:rsidRDefault="00C907E7" w:rsidP="00332163">
                      <w:pPr>
                        <w:jc w:val="both"/>
                        <w:rPr>
                          <w:b/>
                          <w:color w:val="984806" w:themeColor="accent6" w:themeShade="80"/>
                          <w:sz w:val="16"/>
                          <w:szCs w:val="16"/>
                        </w:rPr>
                      </w:pPr>
                      <w:r w:rsidRPr="00396639">
                        <w:rPr>
                          <w:b/>
                          <w:color w:val="984806" w:themeColor="accent6" w:themeShade="80"/>
                        </w:rPr>
                        <w:t>Lidský vliv na klimatický systém je evidentní. Je to zřejmé z rostoucí koncentrace skleníkových plynů v atmosféře, kladného RF, pozorovaného oteplení a pochopení klimatického systému.</w:t>
                      </w:r>
                      <w:r w:rsidRPr="00396639">
                        <w:rPr>
                          <w:b/>
                          <w:color w:val="984806" w:themeColor="accent6" w:themeShade="80"/>
                          <w:spacing w:val="8"/>
                        </w:rPr>
                        <w:t xml:space="preserve"> </w:t>
                      </w:r>
                      <w:r w:rsidRPr="00786EA5">
                        <w:rPr>
                          <w:b/>
                          <w:color w:val="984806" w:themeColor="accent6" w:themeShade="80"/>
                          <w:spacing w:val="8"/>
                          <w:sz w:val="16"/>
                          <w:szCs w:val="16"/>
                        </w:rPr>
                        <w:t>{2-14}</w:t>
                      </w:r>
                    </w:p>
                  </w:txbxContent>
                </v:textbox>
              </v:shape>
            </w:pict>
          </mc:Fallback>
        </mc:AlternateContent>
      </w:r>
    </w:p>
    <w:p w:rsidR="00396639" w:rsidRDefault="00396639" w:rsidP="009F08EE">
      <w:pPr>
        <w:shd w:val="clear" w:color="auto" w:fill="FFFFFF"/>
        <w:jc w:val="both"/>
        <w:rPr>
          <w:b/>
          <w:color w:val="000000"/>
          <w:spacing w:val="2"/>
          <w:sz w:val="28"/>
          <w:szCs w:val="28"/>
        </w:rPr>
      </w:pPr>
    </w:p>
    <w:p w:rsidR="00786EA5" w:rsidRDefault="00786EA5" w:rsidP="009F08EE">
      <w:pPr>
        <w:shd w:val="clear" w:color="auto" w:fill="FFFFFF"/>
        <w:jc w:val="both"/>
        <w:rPr>
          <w:b/>
          <w:color w:val="000000"/>
          <w:spacing w:val="2"/>
          <w:sz w:val="28"/>
          <w:szCs w:val="28"/>
        </w:rPr>
      </w:pPr>
    </w:p>
    <w:p w:rsidR="00786EA5" w:rsidRPr="00396639" w:rsidRDefault="00786EA5" w:rsidP="009F08EE">
      <w:pPr>
        <w:shd w:val="clear" w:color="auto" w:fill="FFFFFF"/>
        <w:jc w:val="both"/>
        <w:rPr>
          <w:b/>
          <w:color w:val="000000"/>
          <w:spacing w:val="2"/>
          <w:sz w:val="28"/>
          <w:szCs w:val="28"/>
        </w:rPr>
      </w:pPr>
      <w:r>
        <w:rPr>
          <w:b/>
          <w:color w:val="000000"/>
          <w:spacing w:val="2"/>
          <w:sz w:val="28"/>
          <w:szCs w:val="28"/>
        </w:rPr>
        <w:t>D.1 Hodnocení klimatických modelů</w:t>
      </w:r>
    </w:p>
    <w:p w:rsidR="009F08EE" w:rsidRPr="009F08EE" w:rsidRDefault="00C3040A" w:rsidP="009F08EE">
      <w:pPr>
        <w:shd w:val="clear" w:color="auto" w:fill="FFFFFF"/>
        <w:spacing w:before="264" w:line="250" w:lineRule="exact"/>
        <w:jc w:val="both"/>
        <w:rPr>
          <w:iCs/>
          <w:color w:val="000000"/>
          <w:spacing w:val="11"/>
        </w:rPr>
      </w:pPr>
      <w:r>
        <w:rPr>
          <w:b/>
          <w:noProof/>
          <w:sz w:val="28"/>
          <w:szCs w:val="28"/>
        </w:rPr>
        <mc:AlternateContent>
          <mc:Choice Requires="wps">
            <w:drawing>
              <wp:anchor distT="0" distB="0" distL="114300" distR="114300" simplePos="0" relativeHeight="251674624" behindDoc="0" locked="0" layoutInCell="1" allowOverlap="1">
                <wp:simplePos x="0" y="0"/>
                <wp:positionH relativeFrom="column">
                  <wp:posOffset>-12700</wp:posOffset>
                </wp:positionH>
                <wp:positionV relativeFrom="paragraph">
                  <wp:posOffset>84455</wp:posOffset>
                </wp:positionV>
                <wp:extent cx="6114415" cy="685165"/>
                <wp:effectExtent l="6350" t="8255" r="13335" b="8255"/>
                <wp:wrapNone/>
                <wp:docPr id="2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4415" cy="685165"/>
                        </a:xfrm>
                        <a:prstGeom prst="rect">
                          <a:avLst/>
                        </a:prstGeom>
                        <a:solidFill>
                          <a:schemeClr val="accent6">
                            <a:lumMod val="40000"/>
                            <a:lumOff val="60000"/>
                          </a:schemeClr>
                        </a:solidFill>
                        <a:ln w="9525">
                          <a:solidFill>
                            <a:schemeClr val="accent6">
                              <a:lumMod val="40000"/>
                              <a:lumOff val="60000"/>
                            </a:schemeClr>
                          </a:solidFill>
                          <a:miter lim="800000"/>
                          <a:headEnd/>
                          <a:tailEnd/>
                        </a:ln>
                      </wps:spPr>
                      <wps:txbx>
                        <w:txbxContent>
                          <w:p w:rsidR="00C907E7" w:rsidRPr="00786EA5" w:rsidRDefault="00C907E7" w:rsidP="00786EA5">
                            <w:pPr>
                              <w:rPr>
                                <w:b/>
                                <w:color w:val="984806" w:themeColor="accent6" w:themeShade="80"/>
                              </w:rPr>
                            </w:pPr>
                            <w:r w:rsidRPr="00786EA5">
                              <w:rPr>
                                <w:b/>
                                <w:color w:val="984806" w:themeColor="accent6" w:themeShade="80"/>
                              </w:rPr>
                              <w:t>Od hodnotící zprávy AR4 se klimatické modely zlepšily. Modely reprodukují pozorované rozložení a trendy povrchové teploty v měřítku kontinentů</w:t>
                            </w:r>
                            <w:r w:rsidRPr="00786EA5">
                              <w:rPr>
                                <w:b/>
                                <w:color w:val="984806" w:themeColor="accent6" w:themeShade="80"/>
                                <w:spacing w:val="8"/>
                              </w:rPr>
                              <w:t xml:space="preserve"> po dobu mnoha desetiletí, včetně rychlejšího oteplení od poloviny 20. století a ochlazení bezprostředně po velkých sopečných erupcích (</w:t>
                            </w:r>
                            <w:r w:rsidRPr="00786EA5">
                              <w:rPr>
                                <w:b/>
                                <w:i/>
                                <w:color w:val="984806" w:themeColor="accent6" w:themeShade="80"/>
                                <w:spacing w:val="8"/>
                              </w:rPr>
                              <w:t>velmi vysoká spolehlivost</w:t>
                            </w:r>
                            <w:r w:rsidRPr="00786EA5">
                              <w:rPr>
                                <w:b/>
                                <w:color w:val="984806" w:themeColor="accent6" w:themeShade="80"/>
                                <w:spacing w:val="8"/>
                              </w:rPr>
                              <w:t xml:space="preserve">). </w:t>
                            </w:r>
                            <w:r w:rsidRPr="00786EA5">
                              <w:rPr>
                                <w:b/>
                                <w:color w:val="984806" w:themeColor="accent6" w:themeShade="80"/>
                                <w:spacing w:val="8"/>
                                <w:sz w:val="16"/>
                                <w:szCs w:val="16"/>
                              </w:rPr>
                              <w:t>{9.4, 9.6, 9.8}</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4" o:spid="_x0000_s1034" type="#_x0000_t202" style="position:absolute;left:0;text-align:left;margin-left:-1pt;margin-top:6.65pt;width:481.45pt;height:53.95pt;z-index:2516746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" fillcolor="#fbd4b4 [1305]" strokecolor="#fbd4b4 [1305]">
                <v:textbox style="mso-fit-shape-to-text:t">
                  <w:txbxContent>
                    <w:p w:rsidR="00C907E7" w:rsidRPr="00786EA5" w:rsidRDefault="00C907E7" w:rsidP="00786EA5">
                      <w:pPr>
                        <w:rPr>
                          <w:b/>
                          <w:color w:val="984806" w:themeColor="accent6" w:themeShade="80"/>
                        </w:rPr>
                      </w:pPr>
                      <w:r w:rsidRPr="00786EA5">
                        <w:rPr>
                          <w:b/>
                          <w:color w:val="984806" w:themeColor="accent6" w:themeShade="80"/>
                        </w:rPr>
                        <w:t>Od hodnotící zprávy AR4 se klimatické modely zlepšily. Modely reprodukují pozorované rozložení a trendy povrchové teploty v měřítku kontinentů</w:t>
                      </w:r>
                      <w:r w:rsidRPr="00786EA5">
                        <w:rPr>
                          <w:b/>
                          <w:color w:val="984806" w:themeColor="accent6" w:themeShade="80"/>
                          <w:spacing w:val="8"/>
                        </w:rPr>
                        <w:t xml:space="preserve"> po dobu mnoha desetiletí, včetně rychlejšího oteplení od poloviny 20. století a ochlazení bezprostředně po velkých sopečných erupcích (</w:t>
                      </w:r>
                      <w:r w:rsidRPr="00786EA5">
                        <w:rPr>
                          <w:b/>
                          <w:i/>
                          <w:color w:val="984806" w:themeColor="accent6" w:themeShade="80"/>
                          <w:spacing w:val="8"/>
                        </w:rPr>
                        <w:t>velmi vysoká spolehlivost</w:t>
                      </w:r>
                      <w:r w:rsidRPr="00786EA5">
                        <w:rPr>
                          <w:b/>
                          <w:color w:val="984806" w:themeColor="accent6" w:themeShade="80"/>
                          <w:spacing w:val="8"/>
                        </w:rPr>
                        <w:t xml:space="preserve">). </w:t>
                      </w:r>
                      <w:r w:rsidRPr="00786EA5">
                        <w:rPr>
                          <w:b/>
                          <w:color w:val="984806" w:themeColor="accent6" w:themeShade="80"/>
                          <w:spacing w:val="8"/>
                          <w:sz w:val="16"/>
                          <w:szCs w:val="16"/>
                        </w:rPr>
                        <w:t>{9.4, 9.6, 9.8}</w:t>
                      </w:r>
                    </w:p>
                  </w:txbxContent>
                </v:textbox>
              </v:shape>
            </w:pict>
          </mc:Fallback>
        </mc:AlternateContent>
      </w:r>
    </w:p>
    <w:p w:rsidR="006C28EE" w:rsidRDefault="006C28EE" w:rsidP="009F08EE">
      <w:pPr>
        <w:shd w:val="clear" w:color="auto" w:fill="FFFFFF"/>
        <w:spacing w:before="264" w:line="250" w:lineRule="exact"/>
        <w:jc w:val="both"/>
        <w:rPr>
          <w:b/>
          <w:sz w:val="28"/>
          <w:szCs w:val="28"/>
        </w:rPr>
      </w:pPr>
    </w:p>
    <w:p w:rsidR="00786EA5" w:rsidRPr="00786EA5" w:rsidRDefault="00786EA5" w:rsidP="00786EA5">
      <w:pPr>
        <w:numPr>
          <w:ilvl w:val="0"/>
          <w:numId w:val="10"/>
        </w:numPr>
        <w:shd w:val="clear" w:color="auto" w:fill="FFFFFF"/>
        <w:tabs>
          <w:tab w:val="left" w:pos="360"/>
        </w:tabs>
        <w:spacing w:before="389" w:line="250" w:lineRule="exact"/>
        <w:ind w:left="360" w:hanging="355"/>
        <w:jc w:val="both"/>
        <w:rPr>
          <w:color w:val="000000"/>
        </w:rPr>
      </w:pPr>
      <w:r w:rsidRPr="00786EA5">
        <w:rPr>
          <w:color w:val="000000"/>
          <w:spacing w:val="4"/>
        </w:rPr>
        <w:t>Dlouhodobé simulace klimatických modelů ukazují trend v globální průměrné teplotě při povrchu od roku 1951 do roku 2012, který se shoduje s pozorovaným trendem (</w:t>
      </w:r>
      <w:r w:rsidRPr="00786EA5">
        <w:rPr>
          <w:i/>
          <w:color w:val="000000"/>
          <w:spacing w:val="4"/>
        </w:rPr>
        <w:t>velmi vysoká spolehlivost</w:t>
      </w:r>
      <w:r w:rsidRPr="00786EA5">
        <w:rPr>
          <w:color w:val="000000"/>
          <w:spacing w:val="4"/>
        </w:rPr>
        <w:t>). V krátkých obdobích 10 až 15 let (např. 1998 až 2012) však existují rozdíly mezi simulovanými a pozorovanými trendy</w:t>
      </w:r>
      <w:r w:rsidRPr="00786EA5">
        <w:rPr>
          <w:color w:val="000000"/>
        </w:rPr>
        <w:t>. {9.4, box 9.2}</w:t>
      </w:r>
    </w:p>
    <w:p w:rsidR="00786EA5" w:rsidRPr="00786EA5" w:rsidRDefault="00786EA5" w:rsidP="00786EA5">
      <w:pPr>
        <w:numPr>
          <w:ilvl w:val="0"/>
          <w:numId w:val="10"/>
        </w:numPr>
        <w:shd w:val="clear" w:color="auto" w:fill="FFFFFF"/>
        <w:tabs>
          <w:tab w:val="left" w:pos="360"/>
        </w:tabs>
        <w:spacing w:before="269" w:line="250" w:lineRule="exact"/>
        <w:ind w:left="360" w:hanging="355"/>
        <w:jc w:val="both"/>
        <w:rPr>
          <w:color w:val="000000"/>
        </w:rPr>
      </w:pPr>
      <w:r w:rsidRPr="00786EA5">
        <w:rPr>
          <w:color w:val="000000"/>
          <w:spacing w:val="2"/>
        </w:rPr>
        <w:t>Pozorovaný pokles u trendu oteplení povrchu v období let 1998-2012 oproti období let 1951-2012 je způsoben zhruba stejně nižším trendem RF a ochlazovacím příspěvkem z interní variability, který zahrnuje možnou redistribuci tepla v oceánu (</w:t>
      </w:r>
      <w:r w:rsidRPr="00786EA5">
        <w:rPr>
          <w:i/>
          <w:color w:val="000000"/>
          <w:spacing w:val="2"/>
        </w:rPr>
        <w:t>stření spolehlivost</w:t>
      </w:r>
      <w:r w:rsidRPr="00786EA5">
        <w:rPr>
          <w:color w:val="000000"/>
          <w:spacing w:val="2"/>
        </w:rPr>
        <w:t>). Snížený trend u RF je primárně způsoben sopečnými erupcemi a načasováním klesající fáze 11letého solárního cyklu. Kvantifikovat roli změn RF na snížení trendu oteplení však lze jen s </w:t>
      </w:r>
      <w:r w:rsidR="00732624">
        <w:rPr>
          <w:i/>
          <w:color w:val="000000"/>
          <w:spacing w:val="2"/>
        </w:rPr>
        <w:t>nízkou s</w:t>
      </w:r>
      <w:r w:rsidRPr="00786EA5">
        <w:rPr>
          <w:i/>
          <w:color w:val="000000"/>
          <w:spacing w:val="2"/>
        </w:rPr>
        <w:t>polehlivostí</w:t>
      </w:r>
      <w:r w:rsidRPr="00786EA5">
        <w:rPr>
          <w:color w:val="000000"/>
          <w:spacing w:val="2"/>
        </w:rPr>
        <w:t xml:space="preserve">. Se </w:t>
      </w:r>
      <w:r w:rsidRPr="00786EA5">
        <w:rPr>
          <w:i/>
          <w:color w:val="000000"/>
          <w:spacing w:val="2"/>
        </w:rPr>
        <w:t>střední spolehlivostí</w:t>
      </w:r>
      <w:r w:rsidRPr="00786EA5">
        <w:rPr>
          <w:color w:val="000000"/>
          <w:spacing w:val="2"/>
        </w:rPr>
        <w:t xml:space="preserve"> lze tvrdit, že rozdíl mezi pozorováním a simulacemi působí do značné míry interní mezidekádní variabilita; nepředpokládá se, že by simulace reprodukovaly načasování interní variability. Rovněž zde může docházet k příspěvku vlivem nedostatků v popisu RF a u některých modelů nadhodnocení reakce na rostoucí koncentrace skleníkových plynů a další antropogenní působení (jemuž dominují účinky aerosolů).</w:t>
      </w:r>
      <w:r w:rsidRPr="00786EA5">
        <w:rPr>
          <w:color w:val="000000"/>
        </w:rPr>
        <w:t xml:space="preserve"> {9.4, box 9.2, 10.3, box 10.2, 11.3}</w:t>
      </w:r>
    </w:p>
    <w:p w:rsidR="00786EA5" w:rsidRPr="00786EA5" w:rsidRDefault="00786EA5" w:rsidP="00786EA5">
      <w:pPr>
        <w:numPr>
          <w:ilvl w:val="0"/>
          <w:numId w:val="10"/>
        </w:numPr>
        <w:shd w:val="clear" w:color="auto" w:fill="FFFFFF"/>
        <w:tabs>
          <w:tab w:val="left" w:pos="360"/>
        </w:tabs>
        <w:spacing w:before="264" w:line="250" w:lineRule="exact"/>
        <w:ind w:left="360" w:hanging="355"/>
        <w:jc w:val="both"/>
        <w:rPr>
          <w:color w:val="000000"/>
        </w:rPr>
      </w:pPr>
      <w:r w:rsidRPr="00786EA5">
        <w:rPr>
          <w:color w:val="000000"/>
          <w:spacing w:val="1"/>
        </w:rPr>
        <w:t>V regionálním měřítku je spolehlivost modelů při simulaci teploty při povrchu menší než u větších měřítek. S </w:t>
      </w:r>
      <w:r w:rsidRPr="00786EA5">
        <w:rPr>
          <w:i/>
          <w:color w:val="000000"/>
          <w:spacing w:val="1"/>
        </w:rPr>
        <w:t>vysokou spolehlivostí</w:t>
      </w:r>
      <w:r w:rsidRPr="00786EA5">
        <w:rPr>
          <w:color w:val="000000"/>
          <w:spacing w:val="1"/>
        </w:rPr>
        <w:t xml:space="preserve"> však lze tvrdit, že povrchová teplota je v regionálním měřítku simulována lépe než v době zpracování hodnotící zprávy AR4.</w:t>
      </w:r>
      <w:r w:rsidRPr="00786EA5">
        <w:rPr>
          <w:color w:val="000000"/>
        </w:rPr>
        <w:t xml:space="preserve"> {9.4, 9.6}</w:t>
      </w:r>
    </w:p>
    <w:p w:rsidR="00786EA5" w:rsidRPr="00786EA5" w:rsidRDefault="00786EA5" w:rsidP="00786EA5">
      <w:pPr>
        <w:numPr>
          <w:ilvl w:val="0"/>
          <w:numId w:val="10"/>
        </w:numPr>
        <w:shd w:val="clear" w:color="auto" w:fill="FFFFFF"/>
        <w:tabs>
          <w:tab w:val="left" w:pos="360"/>
        </w:tabs>
        <w:spacing w:before="269" w:line="250" w:lineRule="exact"/>
        <w:ind w:left="360" w:hanging="355"/>
        <w:jc w:val="both"/>
        <w:rPr>
          <w:color w:val="000000"/>
        </w:rPr>
      </w:pPr>
      <w:r w:rsidRPr="00786EA5">
        <w:rPr>
          <w:color w:val="000000"/>
          <w:spacing w:val="-1"/>
        </w:rPr>
        <w:t xml:space="preserve">Od </w:t>
      </w:r>
      <w:r w:rsidRPr="00786EA5">
        <w:rPr>
          <w:color w:val="000000"/>
          <w:spacing w:val="1"/>
        </w:rPr>
        <w:t xml:space="preserve">zpracování hodnotící zprávy AR4 došlo k podstatnému pokroku v hodnocení extrémních povětrnostních a klimatických jevů. Simulované trendy globálních průměrů v četnosti teplých a chladných dnů a nocí v druhé polovině 20. století v zásadě odpovídají pozorováním. </w:t>
      </w:r>
      <w:r w:rsidRPr="00786EA5">
        <w:rPr>
          <w:color w:val="000000"/>
          <w:spacing w:val="-1"/>
        </w:rPr>
        <w:t>{9.5}</w:t>
      </w:r>
    </w:p>
    <w:p w:rsidR="00786EA5" w:rsidRPr="00786EA5" w:rsidRDefault="00786EA5" w:rsidP="00786EA5">
      <w:pPr>
        <w:numPr>
          <w:ilvl w:val="0"/>
          <w:numId w:val="10"/>
        </w:numPr>
        <w:shd w:val="clear" w:color="auto" w:fill="FFFFFF"/>
        <w:tabs>
          <w:tab w:val="left" w:pos="360"/>
        </w:tabs>
        <w:spacing w:before="269" w:line="250" w:lineRule="exact"/>
        <w:ind w:left="360" w:hanging="355"/>
        <w:jc w:val="both"/>
        <w:rPr>
          <w:color w:val="000000"/>
        </w:rPr>
      </w:pPr>
      <w:r w:rsidRPr="00786EA5">
        <w:rPr>
          <w:color w:val="000000"/>
          <w:spacing w:val="4"/>
        </w:rPr>
        <w:t xml:space="preserve">V simulaci rozložení srážek v měřítku kontinentů došlo od </w:t>
      </w:r>
      <w:r w:rsidRPr="00786EA5">
        <w:rPr>
          <w:color w:val="000000"/>
          <w:spacing w:val="1"/>
        </w:rPr>
        <w:t>hodnotící zprávy AR4 k určitému zlepšení. V regionálním měřítku nejsou srážky simulovány tak dobře a hodnocení je ztíženo neurčitostmi pozorování.</w:t>
      </w:r>
      <w:r w:rsidRPr="00786EA5">
        <w:rPr>
          <w:color w:val="000000"/>
        </w:rPr>
        <w:t xml:space="preserve"> {9.4, 9.6}</w:t>
      </w:r>
    </w:p>
    <w:p w:rsidR="00786EA5" w:rsidRPr="00786EA5" w:rsidRDefault="00C3040A" w:rsidP="00786EA5">
      <w:pPr>
        <w:numPr>
          <w:ilvl w:val="0"/>
          <w:numId w:val="10"/>
        </w:numPr>
        <w:shd w:val="clear" w:color="auto" w:fill="FFFFFF"/>
        <w:tabs>
          <w:tab w:val="left" w:pos="360"/>
        </w:tabs>
        <w:spacing w:before="269" w:line="250" w:lineRule="exact"/>
        <w:ind w:left="360" w:hanging="355"/>
        <w:jc w:val="both"/>
        <w:rPr>
          <w:color w:val="000000"/>
          <w:spacing w:val="2"/>
        </w:rPr>
      </w:pPr>
      <w:r>
        <w:rPr>
          <w:noProof/>
          <w:color w:val="000000"/>
          <w:spacing w:val="2"/>
        </w:rPr>
        <mc:AlternateContent>
          <mc:Choice Requires="wps">
            <w:drawing>
              <wp:anchor distT="0" distB="0" distL="114300" distR="114300" simplePos="0" relativeHeight="251676672" behindDoc="0" locked="0" layoutInCell="0" allowOverlap="1">
                <wp:simplePos x="0" y="0"/>
                <wp:positionH relativeFrom="margin">
                  <wp:posOffset>-85090</wp:posOffset>
                </wp:positionH>
                <wp:positionV relativeFrom="paragraph">
                  <wp:posOffset>5245735</wp:posOffset>
                </wp:positionV>
                <wp:extent cx="0" cy="518160"/>
                <wp:effectExtent l="10160" t="6985" r="8890" b="8255"/>
                <wp:wrapNone/>
                <wp:docPr id="23" name="Lin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18160"/>
                        </a:xfrm>
                        <a:prstGeom prst="line">
                          <a:avLst/>
                        </a:prstGeom>
                        <a:noFill/>
                        <a:ln w="88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5" o:spid="_x0000_s1026" style="position:absolute;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6.7pt,413.05pt" to="-6.7pt,45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" o:allowincell="f" strokeweight=".7pt">
                <w10:wrap anchorx="margin"/>
              </v:line>
            </w:pict>
          </mc:Fallback>
        </mc:AlternateContent>
      </w:r>
      <w:r>
        <w:rPr>
          <w:noProof/>
          <w:color w:val="000000"/>
          <w:spacing w:val="2"/>
        </w:rPr>
        <mc:AlternateContent>
          <mc:Choice Requires="wps">
            <w:drawing>
              <wp:anchor distT="0" distB="0" distL="114300" distR="114300" simplePos="0" relativeHeight="251677696" behindDoc="0" locked="0" layoutInCell="0" allowOverlap="1">
                <wp:simplePos x="0" y="0"/>
                <wp:positionH relativeFrom="margin">
                  <wp:posOffset>6175375</wp:posOffset>
                </wp:positionH>
                <wp:positionV relativeFrom="paragraph">
                  <wp:posOffset>5245735</wp:posOffset>
                </wp:positionV>
                <wp:extent cx="0" cy="518160"/>
                <wp:effectExtent l="12700" t="16510" r="15875" b="8255"/>
                <wp:wrapNone/>
                <wp:docPr id="22" name="Line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18160"/>
                        </a:xfrm>
                        <a:prstGeom prst="line">
                          <a:avLst/>
                        </a:prstGeom>
                        <a:noFill/>
                        <a:ln w="1524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6" o:spid="_x0000_s1026" style="position:absolute;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486.25pt,413.05pt" to="486.25pt,45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" o:allowincell="f" strokeweight="1.2pt">
                <w10:wrap anchorx="margin"/>
              </v:line>
            </w:pict>
          </mc:Fallback>
        </mc:AlternateContent>
      </w:r>
      <w:r w:rsidR="00786EA5" w:rsidRPr="00786EA5">
        <w:rPr>
          <w:color w:val="000000"/>
          <w:spacing w:val="2"/>
        </w:rPr>
        <w:t>Modely nyní lépe reprodukují některé důležité klimatické jevy. S </w:t>
      </w:r>
      <w:r w:rsidR="00786EA5" w:rsidRPr="00786EA5">
        <w:rPr>
          <w:i/>
          <w:color w:val="000000"/>
          <w:spacing w:val="2"/>
        </w:rPr>
        <w:t>vysokou spolehlivostí</w:t>
      </w:r>
      <w:r w:rsidR="00786EA5" w:rsidRPr="00786EA5">
        <w:rPr>
          <w:color w:val="000000"/>
          <w:spacing w:val="2"/>
        </w:rPr>
        <w:t xml:space="preserve"> lze tvrdit, že statistiky monzunů a El Niño-jižní oscilace (ENSO) na základě multimodelových simulací se od doby </w:t>
      </w:r>
      <w:r w:rsidR="00786EA5" w:rsidRPr="00786EA5">
        <w:rPr>
          <w:color w:val="000000"/>
          <w:spacing w:val="1"/>
        </w:rPr>
        <w:t>zpracování hodnotící zprávy AR4 zlepšily</w:t>
      </w:r>
      <w:r w:rsidR="00786EA5" w:rsidRPr="00786EA5">
        <w:rPr>
          <w:color w:val="000000"/>
          <w:spacing w:val="2"/>
        </w:rPr>
        <w:t>. {9.5}</w:t>
      </w:r>
    </w:p>
    <w:p w:rsidR="00786EA5" w:rsidRPr="00786EA5" w:rsidRDefault="00786EA5" w:rsidP="00786EA5">
      <w:pPr>
        <w:numPr>
          <w:ilvl w:val="0"/>
          <w:numId w:val="10"/>
        </w:numPr>
        <w:shd w:val="clear" w:color="auto" w:fill="FFFFFF"/>
        <w:tabs>
          <w:tab w:val="left" w:pos="360"/>
        </w:tabs>
        <w:spacing w:before="269" w:line="250" w:lineRule="exact"/>
        <w:ind w:left="360" w:hanging="355"/>
        <w:jc w:val="both"/>
        <w:rPr>
          <w:color w:val="000000"/>
        </w:rPr>
      </w:pPr>
      <w:r w:rsidRPr="00786EA5">
        <w:rPr>
          <w:color w:val="000000"/>
        </w:rPr>
        <w:t xml:space="preserve">Klimatické modely nyní zahrnují více procesů, souvisejících s oblačností a aerosoly a jejich interakce, než v době </w:t>
      </w:r>
      <w:r w:rsidRPr="00786EA5">
        <w:rPr>
          <w:color w:val="000000"/>
          <w:spacing w:val="1"/>
        </w:rPr>
        <w:t xml:space="preserve">zpracování hodnotící zprávy AR4, ale zastoupení a kvantifikace těchto procesů v modelech má stále ještě </w:t>
      </w:r>
      <w:r w:rsidRPr="00786EA5">
        <w:rPr>
          <w:i/>
          <w:color w:val="000000"/>
          <w:spacing w:val="1"/>
        </w:rPr>
        <w:t>nízkou spolehlivost</w:t>
      </w:r>
      <w:r w:rsidRPr="00786EA5">
        <w:rPr>
          <w:color w:val="000000"/>
          <w:spacing w:val="1"/>
        </w:rPr>
        <w:t>.</w:t>
      </w:r>
      <w:r w:rsidRPr="00786EA5">
        <w:rPr>
          <w:color w:val="000000"/>
        </w:rPr>
        <w:t xml:space="preserve"> {7.3, 7.6, 9.4, 9.7}</w:t>
      </w:r>
    </w:p>
    <w:p w:rsidR="00786EA5" w:rsidRPr="00786EA5" w:rsidRDefault="00786EA5" w:rsidP="00786EA5">
      <w:pPr>
        <w:numPr>
          <w:ilvl w:val="0"/>
          <w:numId w:val="10"/>
        </w:numPr>
        <w:shd w:val="clear" w:color="auto" w:fill="FFFFFF"/>
        <w:tabs>
          <w:tab w:val="left" w:pos="360"/>
        </w:tabs>
        <w:spacing w:before="264" w:line="250" w:lineRule="exact"/>
        <w:ind w:left="360" w:hanging="355"/>
        <w:jc w:val="both"/>
        <w:rPr>
          <w:color w:val="000000"/>
        </w:rPr>
      </w:pPr>
      <w:r w:rsidRPr="00786EA5">
        <w:rPr>
          <w:color w:val="000000"/>
          <w:spacing w:val="1"/>
        </w:rPr>
        <w:lastRenderedPageBreak/>
        <w:t xml:space="preserve">Existují silné důkazy, že klesající trend rozsahu arktického mořského ledu od roku 1979 nyní reprodukuje více modelů než v době zpracování hodnotící zprávy AR4, přičemž zhruba čtvrtina těchto modelů ukazuje stejně velký nebo větší trend, než je trend pozorovaný. Na rozdíl od pozorovaného trendu slabého nárůstu rozsahu antarktického mořského ledu, simuluje většina modelů trend slabého poklesu, byť s velkým rozptylem mezi jednotlivými modely. </w:t>
      </w:r>
      <w:r w:rsidRPr="00786EA5">
        <w:rPr>
          <w:color w:val="000000"/>
        </w:rPr>
        <w:t>{9.4}</w:t>
      </w:r>
    </w:p>
    <w:p w:rsidR="00786EA5" w:rsidRPr="00786EA5" w:rsidRDefault="00786EA5" w:rsidP="00786EA5">
      <w:pPr>
        <w:numPr>
          <w:ilvl w:val="0"/>
          <w:numId w:val="10"/>
        </w:numPr>
        <w:shd w:val="clear" w:color="auto" w:fill="FFFFFF"/>
        <w:tabs>
          <w:tab w:val="left" w:pos="360"/>
        </w:tabs>
        <w:spacing w:before="269" w:line="250" w:lineRule="exact"/>
        <w:ind w:left="360" w:hanging="355"/>
        <w:jc w:val="both"/>
        <w:rPr>
          <w:color w:val="000000"/>
        </w:rPr>
      </w:pPr>
      <w:r w:rsidRPr="00786EA5">
        <w:rPr>
          <w:color w:val="000000"/>
          <w:spacing w:val="3"/>
        </w:rPr>
        <w:t>Řada modelů reprodukuje pozorované změny obsahu tepla v horních vrstvách oceánu (0-700 m) od roku 1961 do roku 2005 (</w:t>
      </w:r>
      <w:r w:rsidRPr="00786EA5">
        <w:rPr>
          <w:i/>
          <w:color w:val="000000"/>
          <w:spacing w:val="3"/>
        </w:rPr>
        <w:t>vysoká spolehlivost</w:t>
      </w:r>
      <w:r w:rsidRPr="00786EA5">
        <w:rPr>
          <w:color w:val="000000"/>
          <w:spacing w:val="3"/>
        </w:rPr>
        <w:t>), přičemž po většinu tohoto období spadají multimodelové průměry do rozmezí dostupných odhadů na základě pozorování.</w:t>
      </w:r>
      <w:r w:rsidRPr="00786EA5">
        <w:rPr>
          <w:color w:val="000000"/>
        </w:rPr>
        <w:t xml:space="preserve"> {9.4}</w:t>
      </w:r>
    </w:p>
    <w:p w:rsidR="00786EA5" w:rsidRPr="00786EA5" w:rsidRDefault="00786EA5" w:rsidP="00786EA5">
      <w:pPr>
        <w:numPr>
          <w:ilvl w:val="0"/>
          <w:numId w:val="10"/>
        </w:numPr>
        <w:shd w:val="clear" w:color="auto" w:fill="FFFFFF"/>
        <w:tabs>
          <w:tab w:val="left" w:pos="360"/>
        </w:tabs>
        <w:spacing w:before="269" w:line="250" w:lineRule="exact"/>
        <w:ind w:left="360" w:hanging="355"/>
        <w:jc w:val="both"/>
        <w:rPr>
          <w:color w:val="000000"/>
        </w:rPr>
      </w:pPr>
      <w:r w:rsidRPr="00786EA5">
        <w:rPr>
          <w:color w:val="000000"/>
          <w:spacing w:val="7"/>
        </w:rPr>
        <w:t>Klimatické modely, které zahrnují koloběh uhlíku (modely ESM – Earth System Model), simulují globální rozložení toků CO</w:t>
      </w:r>
      <w:r w:rsidRPr="00786EA5">
        <w:rPr>
          <w:color w:val="000000"/>
          <w:spacing w:val="7"/>
          <w:vertAlign w:val="subscript"/>
        </w:rPr>
        <w:t>2</w:t>
      </w:r>
      <w:r w:rsidRPr="00786EA5">
        <w:rPr>
          <w:color w:val="000000"/>
          <w:spacing w:val="7"/>
        </w:rPr>
        <w:t xml:space="preserve"> mezi oceánem a atmosférou, s uvolňováním tohoto plynu z oceánu v tropech a pohlcováním v oceánu ve středních a vyšších zeměpisných šířkách. U většiny těchto modelů je velikost simulovaných globálních propadů uhlíku na pevnině i v oceánu ve 2. polovině 20. století v rozmezí napozorovaných odhadů. </w:t>
      </w:r>
      <w:r w:rsidRPr="00786EA5">
        <w:rPr>
          <w:color w:val="000000"/>
          <w:spacing w:val="-1"/>
        </w:rPr>
        <w:t>{9.4}</w:t>
      </w:r>
    </w:p>
    <w:p w:rsidR="00786EA5" w:rsidRDefault="00786EA5" w:rsidP="00786EA5">
      <w:pPr>
        <w:shd w:val="clear" w:color="auto" w:fill="FFFFFF"/>
        <w:tabs>
          <w:tab w:val="left" w:pos="360"/>
        </w:tabs>
        <w:spacing w:before="269" w:line="250" w:lineRule="exact"/>
        <w:jc w:val="both"/>
        <w:rPr>
          <w:color w:val="000000"/>
          <w:spacing w:val="-1"/>
        </w:rPr>
      </w:pPr>
    </w:p>
    <w:p w:rsidR="00786EA5" w:rsidRDefault="00786EA5" w:rsidP="00786EA5">
      <w:pPr>
        <w:shd w:val="clear" w:color="auto" w:fill="FFFFFF"/>
        <w:tabs>
          <w:tab w:val="left" w:pos="360"/>
        </w:tabs>
        <w:spacing w:before="269" w:line="250" w:lineRule="exact"/>
        <w:jc w:val="both"/>
        <w:rPr>
          <w:b/>
          <w:color w:val="000000"/>
          <w:spacing w:val="-1"/>
          <w:sz w:val="28"/>
          <w:szCs w:val="28"/>
        </w:rPr>
      </w:pPr>
      <w:r w:rsidRPr="00786EA5">
        <w:rPr>
          <w:b/>
          <w:color w:val="000000"/>
          <w:spacing w:val="-1"/>
          <w:sz w:val="28"/>
          <w:szCs w:val="28"/>
        </w:rPr>
        <w:t>D.2 Kvantifikace odezvy klimatického systému</w:t>
      </w:r>
    </w:p>
    <w:p w:rsidR="00786EA5" w:rsidRDefault="00C3040A" w:rsidP="00786EA5">
      <w:pPr>
        <w:shd w:val="clear" w:color="auto" w:fill="FFFFFF"/>
        <w:tabs>
          <w:tab w:val="left" w:pos="360"/>
        </w:tabs>
        <w:spacing w:before="269" w:line="250" w:lineRule="exact"/>
        <w:jc w:val="both"/>
        <w:rPr>
          <w:b/>
          <w:color w:val="000000"/>
          <w:sz w:val="28"/>
          <w:szCs w:val="28"/>
        </w:rPr>
      </w:pPr>
      <w:r>
        <w:rPr>
          <w:b/>
          <w:noProof/>
          <w:color w:val="000000"/>
          <w:sz w:val="28"/>
          <w:szCs w:val="28"/>
        </w:rPr>
        <mc:AlternateContent>
          <mc:Choice Requires="wps">
            <w:drawing>
              <wp:anchor distT="0" distB="0" distL="114300" distR="114300" simplePos="0" relativeHeight="251678720" behindDoc="0" locked="0" layoutInCell="1" allowOverlap="1">
                <wp:simplePos x="0" y="0"/>
                <wp:positionH relativeFrom="column">
                  <wp:posOffset>-49530</wp:posOffset>
                </wp:positionH>
                <wp:positionV relativeFrom="paragraph">
                  <wp:posOffset>74930</wp:posOffset>
                </wp:positionV>
                <wp:extent cx="6114415" cy="539115"/>
                <wp:effectExtent l="7620" t="8255" r="12065" b="5080"/>
                <wp:wrapNone/>
                <wp:docPr id="21"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4415" cy="539115"/>
                        </a:xfrm>
                        <a:prstGeom prst="rect">
                          <a:avLst/>
                        </a:prstGeom>
                        <a:solidFill>
                          <a:schemeClr val="accent6">
                            <a:lumMod val="40000"/>
                            <a:lumOff val="60000"/>
                          </a:schemeClr>
                        </a:solidFill>
                        <a:ln w="9525">
                          <a:solidFill>
                            <a:schemeClr val="accent6">
                              <a:lumMod val="40000"/>
                              <a:lumOff val="60000"/>
                            </a:schemeClr>
                          </a:solidFill>
                          <a:miter lim="800000"/>
                          <a:headEnd/>
                          <a:tailEnd/>
                        </a:ln>
                      </wps:spPr>
                      <wps:txbx>
                        <w:txbxContent>
                          <w:p w:rsidR="00C907E7" w:rsidRPr="00786EA5" w:rsidRDefault="00C907E7" w:rsidP="00332163">
                            <w:pPr>
                              <w:jc w:val="both"/>
                              <w:rPr>
                                <w:b/>
                                <w:color w:val="984806" w:themeColor="accent6" w:themeShade="80"/>
                              </w:rPr>
                            </w:pPr>
                            <w:r w:rsidRPr="00786EA5">
                              <w:rPr>
                                <w:b/>
                                <w:color w:val="984806" w:themeColor="accent6" w:themeShade="80"/>
                              </w:rPr>
                              <w:t>Studie, založené na měřeních a modelové studie změn teploty, klimatických zpětných vazeb a změn v energetické bilanci Země, společně dokládají velikost globálního oteplení v reakci na minulý a budoucí RF.</w:t>
                            </w:r>
                            <w:r w:rsidRPr="00786EA5">
                              <w:rPr>
                                <w:b/>
                                <w:color w:val="984806" w:themeColor="accent6" w:themeShade="80"/>
                                <w:spacing w:val="8"/>
                              </w:rPr>
                              <w:t xml:space="preserve"> </w:t>
                            </w:r>
                            <w:r w:rsidRPr="00786EA5">
                              <w:rPr>
                                <w:b/>
                                <w:color w:val="984806" w:themeColor="accent6" w:themeShade="80"/>
                                <w:spacing w:val="8"/>
                                <w:sz w:val="16"/>
                                <w:szCs w:val="16"/>
                              </w:rPr>
                              <w:t>{box 12.2, box 13.1}</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9" o:spid="_x0000_s1035" type="#_x0000_t202" style="position:absolute;left:0;text-align:left;margin-left:-3.9pt;margin-top:5.9pt;width:481.45pt;height:42.45pt;z-index:2516787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" fillcolor="#fbd4b4 [1305]" strokecolor="#fbd4b4 [1305]">
                <v:textbox style="mso-fit-shape-to-text:t">
                  <w:txbxContent>
                    <w:p w:rsidR="00C907E7" w:rsidRPr="00786EA5" w:rsidRDefault="00C907E7" w:rsidP="00332163">
                      <w:pPr>
                        <w:jc w:val="both"/>
                        <w:rPr>
                          <w:b/>
                          <w:color w:val="984806" w:themeColor="accent6" w:themeShade="80"/>
                        </w:rPr>
                      </w:pPr>
                      <w:r w:rsidRPr="00786EA5">
                        <w:rPr>
                          <w:b/>
                          <w:color w:val="984806" w:themeColor="accent6" w:themeShade="80"/>
                        </w:rPr>
                        <w:t>Studie, založené na měřeních a modelové studie změn teploty, klimatických zpětných vazeb a změn v energetické bilanci Země, společně dokládají velikost globálního oteplení v reakci na minulý a budoucí RF.</w:t>
                      </w:r>
                      <w:r w:rsidRPr="00786EA5">
                        <w:rPr>
                          <w:b/>
                          <w:color w:val="984806" w:themeColor="accent6" w:themeShade="80"/>
                          <w:spacing w:val="8"/>
                        </w:rPr>
                        <w:t xml:space="preserve"> </w:t>
                      </w:r>
                      <w:r w:rsidRPr="00786EA5">
                        <w:rPr>
                          <w:b/>
                          <w:color w:val="984806" w:themeColor="accent6" w:themeShade="80"/>
                          <w:spacing w:val="8"/>
                          <w:sz w:val="16"/>
                          <w:szCs w:val="16"/>
                        </w:rPr>
                        <w:t>{box 12.2, box 13.1}</w:t>
                      </w:r>
                    </w:p>
                  </w:txbxContent>
                </v:textbox>
              </v:shape>
            </w:pict>
          </mc:Fallback>
        </mc:AlternateContent>
      </w:r>
    </w:p>
    <w:p w:rsidR="00786EA5" w:rsidRDefault="00786EA5" w:rsidP="00786EA5">
      <w:pPr>
        <w:shd w:val="clear" w:color="auto" w:fill="FFFFFF"/>
        <w:tabs>
          <w:tab w:val="left" w:pos="360"/>
        </w:tabs>
        <w:spacing w:before="269" w:line="250" w:lineRule="exact"/>
        <w:jc w:val="both"/>
        <w:rPr>
          <w:b/>
          <w:color w:val="000000"/>
          <w:sz w:val="28"/>
          <w:szCs w:val="28"/>
        </w:rPr>
      </w:pPr>
    </w:p>
    <w:p w:rsidR="00786EA5" w:rsidRPr="00786EA5" w:rsidRDefault="00786EA5" w:rsidP="00786EA5">
      <w:pPr>
        <w:numPr>
          <w:ilvl w:val="0"/>
          <w:numId w:val="10"/>
        </w:numPr>
        <w:shd w:val="clear" w:color="auto" w:fill="FFFFFF"/>
        <w:tabs>
          <w:tab w:val="left" w:pos="360"/>
        </w:tabs>
        <w:spacing w:before="269" w:line="250" w:lineRule="exact"/>
        <w:ind w:left="360" w:hanging="355"/>
        <w:jc w:val="both"/>
        <w:rPr>
          <w:color w:val="000000"/>
          <w:spacing w:val="7"/>
        </w:rPr>
      </w:pPr>
      <w:r w:rsidRPr="00786EA5">
        <w:rPr>
          <w:color w:val="000000"/>
          <w:spacing w:val="7"/>
        </w:rPr>
        <w:t>Čistá zpětná vazba z kombinovaného účinku změn koncentrace vodní páry a rozdílů mezi oteplením atmosféry a přízemních vrstev je s </w:t>
      </w:r>
      <w:r w:rsidRPr="00786EA5">
        <w:rPr>
          <w:i/>
          <w:color w:val="000000"/>
          <w:spacing w:val="7"/>
        </w:rPr>
        <w:t>extrémně vysokou pravděpodobností</w:t>
      </w:r>
      <w:r w:rsidRPr="00786EA5">
        <w:rPr>
          <w:color w:val="000000"/>
          <w:spacing w:val="7"/>
        </w:rPr>
        <w:t xml:space="preserve"> kladná, a proto zesiluje změny klimatu. Čistá radiační zpětná vazba v důsledku kombinace všech druhů oblačnosti je </w:t>
      </w:r>
      <w:r w:rsidRPr="00786EA5">
        <w:rPr>
          <w:i/>
          <w:color w:val="000000"/>
          <w:spacing w:val="7"/>
        </w:rPr>
        <w:t>pravděpodobně</w:t>
      </w:r>
      <w:r w:rsidRPr="00786EA5">
        <w:rPr>
          <w:color w:val="000000"/>
          <w:spacing w:val="7"/>
        </w:rPr>
        <w:t xml:space="preserve"> kladná. Neurčitost u znaménka a velikosti zpětné vazby oblačnosti je způsobena zejména trvající nejistotou ohledně dopadu oteplení na nízkou oblačnost. {7.2}</w:t>
      </w:r>
    </w:p>
    <w:p w:rsidR="00786EA5" w:rsidRPr="00786EA5" w:rsidRDefault="00786EA5" w:rsidP="00786EA5">
      <w:pPr>
        <w:numPr>
          <w:ilvl w:val="0"/>
          <w:numId w:val="10"/>
        </w:numPr>
        <w:shd w:val="clear" w:color="auto" w:fill="FFFFFF"/>
        <w:tabs>
          <w:tab w:val="left" w:pos="360"/>
        </w:tabs>
        <w:spacing w:before="269" w:line="250" w:lineRule="exact"/>
        <w:ind w:left="360" w:hanging="355"/>
        <w:jc w:val="both"/>
        <w:rPr>
          <w:color w:val="000000"/>
          <w:spacing w:val="7"/>
        </w:rPr>
      </w:pPr>
      <w:r w:rsidRPr="00786EA5">
        <w:rPr>
          <w:color w:val="000000"/>
          <w:spacing w:val="7"/>
        </w:rPr>
        <w:t xml:space="preserve">Rovnovážná citlivost klimatu je mírou odezvy klimatického systému na trvalé radiační působení v časovém měřítku několika století. Je definována jako změna průměrné globální teploty vzduchu při povrchu v rovnovážném stavu, která je způsobena zdvojnásobením koncentrace atmosférického oxidu uhličitého. Rovnovážná citlivost klimatu je </w:t>
      </w:r>
      <w:r w:rsidRPr="00786EA5">
        <w:rPr>
          <w:i/>
          <w:color w:val="000000"/>
          <w:spacing w:val="7"/>
        </w:rPr>
        <w:t>pravděpodobně</w:t>
      </w:r>
      <w:r w:rsidRPr="00786EA5">
        <w:rPr>
          <w:color w:val="000000"/>
          <w:spacing w:val="7"/>
        </w:rPr>
        <w:t xml:space="preserve"> v rozmezí 1,5°C až 4,5°C (</w:t>
      </w:r>
      <w:r w:rsidRPr="00786EA5">
        <w:rPr>
          <w:i/>
          <w:color w:val="000000"/>
          <w:spacing w:val="7"/>
        </w:rPr>
        <w:t>vysoká spolehlivost</w:t>
      </w:r>
      <w:r w:rsidRPr="00786EA5">
        <w:rPr>
          <w:color w:val="000000"/>
          <w:spacing w:val="7"/>
        </w:rPr>
        <w:t xml:space="preserve">), je </w:t>
      </w:r>
      <w:r w:rsidRPr="00786EA5">
        <w:rPr>
          <w:i/>
          <w:color w:val="000000"/>
          <w:spacing w:val="7"/>
        </w:rPr>
        <w:t>extrémně nepravděpodobné</w:t>
      </w:r>
      <w:r w:rsidRPr="00786EA5">
        <w:rPr>
          <w:color w:val="000000"/>
          <w:spacing w:val="7"/>
        </w:rPr>
        <w:t xml:space="preserve">, že by byla pod 1°C a </w:t>
      </w:r>
      <w:r w:rsidRPr="00786EA5">
        <w:rPr>
          <w:i/>
          <w:color w:val="000000"/>
          <w:spacing w:val="7"/>
        </w:rPr>
        <w:t>velmi nepravděpodobné</w:t>
      </w:r>
      <w:r w:rsidRPr="00786EA5">
        <w:rPr>
          <w:color w:val="000000"/>
          <w:spacing w:val="7"/>
        </w:rPr>
        <w:t>, že by byla vyšší než 6°C (</w:t>
      </w:r>
      <w:r w:rsidRPr="00786EA5">
        <w:rPr>
          <w:i/>
          <w:color w:val="000000"/>
          <w:spacing w:val="7"/>
        </w:rPr>
        <w:t>střední spolehlivost</w:t>
      </w:r>
      <w:r w:rsidRPr="00786EA5">
        <w:rPr>
          <w:color w:val="000000"/>
          <w:spacing w:val="7"/>
        </w:rPr>
        <w:t>)</w:t>
      </w:r>
      <w:r w:rsidRPr="00786EA5">
        <w:rPr>
          <w:rStyle w:val="Znakapoznpodarou"/>
          <w:color w:val="000000"/>
          <w:spacing w:val="7"/>
        </w:rPr>
        <w:footnoteReference w:id="16"/>
      </w:r>
      <w:r w:rsidRPr="00786EA5">
        <w:rPr>
          <w:color w:val="000000"/>
          <w:spacing w:val="7"/>
        </w:rPr>
        <w:t>. Spodní teplotní limit hodnoceného rozsahu „</w:t>
      </w:r>
      <w:r w:rsidRPr="00786EA5">
        <w:rPr>
          <w:i/>
          <w:color w:val="000000"/>
          <w:spacing w:val="7"/>
        </w:rPr>
        <w:t xml:space="preserve">pravděpodobně“ </w:t>
      </w:r>
      <w:r w:rsidRPr="00786EA5">
        <w:rPr>
          <w:color w:val="000000"/>
          <w:spacing w:val="7"/>
        </w:rPr>
        <w:t>je tedy menší než 2°C uvedené v hodnotící zprávě AR4, ale horní limit zůstal stejný. Tento odhad vyjadřuje lepší pochopení, rozsáhlejší záznamy o teplotě atmosféry a oceánu a nové odhady RF. {</w:t>
      </w:r>
      <w:r w:rsidR="00987FC6">
        <w:rPr>
          <w:color w:val="000000"/>
          <w:spacing w:val="7"/>
        </w:rPr>
        <w:t xml:space="preserve">TS </w:t>
      </w:r>
      <w:r w:rsidRPr="00786EA5">
        <w:rPr>
          <w:color w:val="000000"/>
          <w:spacing w:val="7"/>
        </w:rPr>
        <w:t>TFE6.1, obr. 1; box 12.2}</w:t>
      </w:r>
    </w:p>
    <w:p w:rsidR="00786EA5" w:rsidRPr="00786EA5" w:rsidRDefault="00786EA5" w:rsidP="00786EA5">
      <w:pPr>
        <w:numPr>
          <w:ilvl w:val="0"/>
          <w:numId w:val="10"/>
        </w:numPr>
        <w:shd w:val="clear" w:color="auto" w:fill="FFFFFF"/>
        <w:tabs>
          <w:tab w:val="left" w:pos="360"/>
        </w:tabs>
        <w:spacing w:before="269" w:line="250" w:lineRule="exact"/>
        <w:ind w:left="360" w:hanging="355"/>
        <w:jc w:val="both"/>
        <w:rPr>
          <w:color w:val="000000"/>
          <w:spacing w:val="7"/>
        </w:rPr>
      </w:pPr>
      <w:r w:rsidRPr="00786EA5">
        <w:rPr>
          <w:color w:val="000000"/>
          <w:spacing w:val="7"/>
        </w:rPr>
        <w:t xml:space="preserve">Rychlost a velikost globální změny klimatu je podmíněna RF, klimatickými zpětnými vazbami a množstvím energie, ukládané v klimatickém systému. Odhady těchto hodnot za poslední desetiletí odpovídají stanovenému pravděpodobnostnímu rozsahu rovnovážné citlivosti klimatu v rámci odhadovaných neurčitostí, což je silným důkazem pro naše chápání antropogenní změny klimatu. </w:t>
      </w:r>
      <w:r w:rsidRPr="00786EA5">
        <w:rPr>
          <w:color w:val="000000"/>
        </w:rPr>
        <w:t>{box 12.2, box 13.1}</w:t>
      </w:r>
    </w:p>
    <w:p w:rsidR="00786EA5" w:rsidRPr="00786EA5" w:rsidRDefault="00786EA5" w:rsidP="00786EA5">
      <w:pPr>
        <w:numPr>
          <w:ilvl w:val="0"/>
          <w:numId w:val="10"/>
        </w:numPr>
        <w:shd w:val="clear" w:color="auto" w:fill="FFFFFF"/>
        <w:tabs>
          <w:tab w:val="left" w:pos="360"/>
        </w:tabs>
        <w:spacing w:before="269" w:line="250" w:lineRule="exact"/>
        <w:ind w:left="360" w:hanging="355"/>
        <w:jc w:val="both"/>
        <w:rPr>
          <w:color w:val="000000"/>
          <w:spacing w:val="7"/>
        </w:rPr>
      </w:pPr>
      <w:r w:rsidRPr="00786EA5">
        <w:rPr>
          <w:color w:val="000000"/>
          <w:spacing w:val="7"/>
        </w:rPr>
        <w:t xml:space="preserve">Přechodová citlivost klimatu je mírou odezvy klimatického systému na rostoucí RF v časovém měřítku několika desetiletí až století. Je definována jako změna globální průměrné teploty vzduchu při povrchu v době, kdy se koncentrace atmosférického oxidu uhličitého zdvojnásobí, ve scénáři s koncentrací rostoucí rychlostí 1 % ročně. Přechodová citlivost klimatu je </w:t>
      </w:r>
      <w:r w:rsidRPr="00786EA5">
        <w:rPr>
          <w:i/>
          <w:color w:val="000000"/>
          <w:spacing w:val="7"/>
        </w:rPr>
        <w:t>pravděpodobně</w:t>
      </w:r>
      <w:r w:rsidRPr="00786EA5">
        <w:rPr>
          <w:color w:val="000000"/>
          <w:spacing w:val="7"/>
        </w:rPr>
        <w:t xml:space="preserve"> v rozmezí 1,0°C až 2,5°C (</w:t>
      </w:r>
      <w:r w:rsidRPr="00786EA5">
        <w:rPr>
          <w:i/>
          <w:color w:val="000000"/>
          <w:spacing w:val="7"/>
        </w:rPr>
        <w:t>vysoká spolehlivost</w:t>
      </w:r>
      <w:r w:rsidRPr="00786EA5">
        <w:rPr>
          <w:color w:val="000000"/>
          <w:spacing w:val="7"/>
        </w:rPr>
        <w:t xml:space="preserve">) a je </w:t>
      </w:r>
      <w:r w:rsidRPr="00786EA5">
        <w:rPr>
          <w:i/>
          <w:color w:val="000000"/>
          <w:spacing w:val="7"/>
        </w:rPr>
        <w:t>extrémně nepravděpodobné</w:t>
      </w:r>
      <w:r w:rsidRPr="00786EA5">
        <w:rPr>
          <w:color w:val="000000"/>
          <w:spacing w:val="7"/>
        </w:rPr>
        <w:t>, že by byla vyšší než 3°C. {box 12.2}</w:t>
      </w:r>
    </w:p>
    <w:p w:rsidR="00786EA5" w:rsidRPr="00786EA5" w:rsidRDefault="00786EA5" w:rsidP="00786EA5">
      <w:pPr>
        <w:numPr>
          <w:ilvl w:val="0"/>
          <w:numId w:val="10"/>
        </w:numPr>
        <w:shd w:val="clear" w:color="auto" w:fill="FFFFFF"/>
        <w:tabs>
          <w:tab w:val="left" w:pos="360"/>
        </w:tabs>
        <w:spacing w:before="269" w:line="250" w:lineRule="exact"/>
        <w:ind w:left="360" w:hanging="355"/>
        <w:jc w:val="both"/>
        <w:rPr>
          <w:color w:val="000000"/>
          <w:spacing w:val="7"/>
        </w:rPr>
      </w:pPr>
      <w:r w:rsidRPr="00786EA5">
        <w:rPr>
          <w:color w:val="000000"/>
          <w:spacing w:val="7"/>
        </w:rPr>
        <w:lastRenderedPageBreak/>
        <w:t xml:space="preserve">Související veličinou je přechodová reakce klimatu na kumulativní emise uhlíku (TCRE). Vyjadřuje míru přechodové reakce klimatického systému na kumulativní emise uhlíku (viz kapitola E.8). TCRE je definováno jako změna průměrné globální teploty vzduchu při povrchu na 1000 GtC emitovaných do atmosféry. TCRE je </w:t>
      </w:r>
      <w:r w:rsidRPr="00786EA5">
        <w:rPr>
          <w:i/>
          <w:color w:val="000000"/>
          <w:spacing w:val="7"/>
        </w:rPr>
        <w:t>pravděpodobně</w:t>
      </w:r>
      <w:r w:rsidRPr="00786EA5">
        <w:rPr>
          <w:color w:val="000000"/>
          <w:spacing w:val="7"/>
        </w:rPr>
        <w:t xml:space="preserve"> v rozsahu 0,8°C až 2,5°C na 1000 GtC a platí pro kumulativní emise do zhruba 2000 GtC až do doby, kdy teploty dosáhnou vrcholu (</w:t>
      </w:r>
      <w:r w:rsidRPr="00786EA5">
        <w:rPr>
          <w:color w:val="000000"/>
        </w:rPr>
        <w:t xml:space="preserve">viz </w:t>
      </w:r>
      <w:r w:rsidRPr="00786EA5">
        <w:rPr>
          <w:color w:val="000000"/>
          <w:spacing w:val="-1"/>
        </w:rPr>
        <w:t>obr. SPM.</w:t>
      </w:r>
      <w:r w:rsidR="00BC774E">
        <w:rPr>
          <w:color w:val="000000"/>
          <w:spacing w:val="-1"/>
        </w:rPr>
        <w:t>10</w:t>
      </w:r>
      <w:r w:rsidRPr="00786EA5">
        <w:rPr>
          <w:color w:val="000000"/>
          <w:spacing w:val="-1"/>
        </w:rPr>
        <w:t>). {12.5, box 12.2}</w:t>
      </w:r>
    </w:p>
    <w:p w:rsidR="00786EA5" w:rsidRPr="005D06A6" w:rsidRDefault="00786EA5" w:rsidP="00786EA5">
      <w:pPr>
        <w:numPr>
          <w:ilvl w:val="0"/>
          <w:numId w:val="10"/>
        </w:numPr>
        <w:shd w:val="clear" w:color="auto" w:fill="FFFFFF"/>
        <w:tabs>
          <w:tab w:val="left" w:pos="360"/>
        </w:tabs>
        <w:spacing w:before="269" w:line="250" w:lineRule="exact"/>
        <w:ind w:left="360" w:hanging="355"/>
        <w:jc w:val="both"/>
        <w:rPr>
          <w:color w:val="000000"/>
          <w:spacing w:val="7"/>
        </w:rPr>
      </w:pPr>
      <w:r w:rsidRPr="00786EA5">
        <w:rPr>
          <w:color w:val="000000"/>
          <w:spacing w:val="7"/>
        </w:rPr>
        <w:t xml:space="preserve">Na srovnávání příspěvků emisí různých látek ke změně klimatu lze použít různé míry. Nejvhodnější míra a časový horizont budou záviset na tom, jaké aspekty změny klimatu jsou považovány za nejdůležitější pro dané použití. Neexistuje jedna univerzální míra, s jejíž pomocí by se daly přesně porovnávat všechny důsledky různých emisí, všechny mají svá omezení a neurčitosti. Potenciál globálního oteplování (GWP) vychází z kumulativního RF v určitém časovém horizontu a potenciál změny globální teploty (GTCP) je založen na změně průměrné globální teploty vzduchu při povrchu ve zvoleném časovém okamžiku. V této zprávě jsou uvedeny aktualizované hodnoty. </w:t>
      </w:r>
      <w:r w:rsidRPr="00786EA5">
        <w:rPr>
          <w:color w:val="000000"/>
        </w:rPr>
        <w:t>{8.7}</w:t>
      </w:r>
    </w:p>
    <w:p w:rsidR="005D06A6" w:rsidRPr="005D06A6" w:rsidRDefault="005D06A6" w:rsidP="005D06A6">
      <w:pPr>
        <w:shd w:val="clear" w:color="auto" w:fill="FFFFFF"/>
        <w:tabs>
          <w:tab w:val="left" w:pos="360"/>
        </w:tabs>
        <w:spacing w:before="269" w:line="250" w:lineRule="exact"/>
        <w:ind w:left="5"/>
        <w:jc w:val="both"/>
        <w:rPr>
          <w:color w:val="000000"/>
          <w:spacing w:val="7"/>
        </w:rPr>
      </w:pPr>
    </w:p>
    <w:p w:rsidR="005D06A6" w:rsidRDefault="005D06A6" w:rsidP="005D06A6">
      <w:pPr>
        <w:shd w:val="clear" w:color="auto" w:fill="FFFFFF"/>
        <w:tabs>
          <w:tab w:val="left" w:pos="360"/>
        </w:tabs>
        <w:jc w:val="both"/>
        <w:rPr>
          <w:b/>
          <w:color w:val="000000"/>
          <w:sz w:val="28"/>
          <w:szCs w:val="28"/>
        </w:rPr>
      </w:pPr>
      <w:r w:rsidRPr="005D06A6">
        <w:rPr>
          <w:b/>
          <w:color w:val="000000"/>
          <w:sz w:val="28"/>
          <w:szCs w:val="28"/>
        </w:rPr>
        <w:t>D.3 Detekce a posouzení změny klimatu</w:t>
      </w:r>
    </w:p>
    <w:p w:rsidR="005D06A6" w:rsidRDefault="00C3040A" w:rsidP="005D06A6">
      <w:pPr>
        <w:shd w:val="clear" w:color="auto" w:fill="FFFFFF"/>
        <w:tabs>
          <w:tab w:val="left" w:pos="360"/>
        </w:tabs>
        <w:jc w:val="both"/>
        <w:rPr>
          <w:b/>
          <w:color w:val="000000"/>
          <w:sz w:val="28"/>
          <w:szCs w:val="28"/>
        </w:rPr>
      </w:pPr>
      <w:r>
        <w:rPr>
          <w:b/>
          <w:noProof/>
          <w:color w:val="000000"/>
          <w:sz w:val="28"/>
          <w:szCs w:val="28"/>
        </w:rPr>
        <mc:AlternateContent>
          <mc:Choice Requires="wps">
            <w:drawing>
              <wp:anchor distT="0" distB="0" distL="114300" distR="114300" simplePos="0" relativeHeight="251679744" behindDoc="0" locked="0" layoutInCell="1" allowOverlap="1">
                <wp:simplePos x="0" y="0"/>
                <wp:positionH relativeFrom="column">
                  <wp:posOffset>29210</wp:posOffset>
                </wp:positionH>
                <wp:positionV relativeFrom="paragraph">
                  <wp:posOffset>52070</wp:posOffset>
                </wp:positionV>
                <wp:extent cx="6114415" cy="831215"/>
                <wp:effectExtent l="10160" t="13970" r="9525" b="8890"/>
                <wp:wrapNone/>
                <wp:docPr id="2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4415" cy="831215"/>
                        </a:xfrm>
                        <a:prstGeom prst="rect">
                          <a:avLst/>
                        </a:prstGeom>
                        <a:solidFill>
                          <a:schemeClr val="accent6">
                            <a:lumMod val="40000"/>
                            <a:lumOff val="60000"/>
                          </a:schemeClr>
                        </a:solidFill>
                        <a:ln w="9525">
                          <a:solidFill>
                            <a:schemeClr val="accent6">
                              <a:lumMod val="40000"/>
                              <a:lumOff val="60000"/>
                            </a:schemeClr>
                          </a:solidFill>
                          <a:miter lim="800000"/>
                          <a:headEnd/>
                          <a:tailEnd/>
                        </a:ln>
                      </wps:spPr>
                      <wps:txbx>
                        <w:txbxContent>
                          <w:p w:rsidR="00C907E7" w:rsidRPr="005D06A6" w:rsidRDefault="00C907E7" w:rsidP="005D06A6">
                            <w:pPr>
                              <w:jc w:val="both"/>
                              <w:rPr>
                                <w:b/>
                                <w:color w:val="984806" w:themeColor="accent6" w:themeShade="80"/>
                              </w:rPr>
                            </w:pPr>
                            <w:r w:rsidRPr="005D06A6">
                              <w:rPr>
                                <w:b/>
                                <w:color w:val="984806" w:themeColor="accent6" w:themeShade="80"/>
                              </w:rPr>
                              <w:t xml:space="preserve">V oteplování atmosféry a oceánu, ve změnách globálního koloběhu vody, v nižším množství sněhu a ledu, ve vzestupu střední výšky globální hladiny oceánu a ve změnách některých klimatických extrémů byl zjištěn vliv člověka (obr. SPM.6 a tab. SPM.1). Od doby zpracování hodnotící zprávy AR4 je tento důkaz ještě silnější. Je </w:t>
                            </w:r>
                            <w:r w:rsidRPr="005D06A6">
                              <w:rPr>
                                <w:b/>
                                <w:i/>
                                <w:color w:val="984806" w:themeColor="accent6" w:themeShade="80"/>
                              </w:rPr>
                              <w:t>extrémně pravděpodobné</w:t>
                            </w:r>
                            <w:r w:rsidRPr="005D06A6">
                              <w:rPr>
                                <w:b/>
                                <w:color w:val="984806" w:themeColor="accent6" w:themeShade="80"/>
                              </w:rPr>
                              <w:t>, že vliv člověka byl dominantní příčinou pozorovaného oteplení od poloviny 20. století.</w:t>
                            </w:r>
                            <w:r w:rsidRPr="005D06A6">
                              <w:rPr>
                                <w:b/>
                                <w:color w:val="984806" w:themeColor="accent6" w:themeShade="80"/>
                                <w:spacing w:val="8"/>
                              </w:rPr>
                              <w:t xml:space="preserve"> </w:t>
                            </w:r>
                            <w:r w:rsidRPr="005D06A6">
                              <w:rPr>
                                <w:b/>
                                <w:color w:val="984806" w:themeColor="accent6" w:themeShade="80"/>
                                <w:spacing w:val="1"/>
                                <w:sz w:val="16"/>
                                <w:szCs w:val="16"/>
                              </w:rPr>
                              <w:t>{10.3-10.6, 10.9}</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0" o:spid="_x0000_s1036" type="#_x0000_t202" style="position:absolute;left:0;text-align:left;margin-left:2.3pt;margin-top:4.1pt;width:481.45pt;height:65.45pt;z-index:2516797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" fillcolor="#fbd4b4 [1305]" strokecolor="#fbd4b4 [1305]">
                <v:textbox style="mso-fit-shape-to-text:t">
                  <w:txbxContent>
                    <w:p w:rsidR="00C907E7" w:rsidRPr="005D06A6" w:rsidRDefault="00C907E7" w:rsidP="005D06A6">
                      <w:pPr>
                        <w:jc w:val="both"/>
                        <w:rPr>
                          <w:b/>
                          <w:color w:val="984806" w:themeColor="accent6" w:themeShade="80"/>
                        </w:rPr>
                      </w:pPr>
                      <w:r w:rsidRPr="005D06A6">
                        <w:rPr>
                          <w:b/>
                          <w:color w:val="984806" w:themeColor="accent6" w:themeShade="80"/>
                        </w:rPr>
                        <w:t xml:space="preserve">V oteplování atmosféry a oceánu, ve změnách globálního koloběhu vody, v nižším množství sněhu a ledu, ve vzestupu střední výšky globální hladiny oceánu a ve změnách některých klimatických extrémů byl zjištěn vliv člověka (obr. SPM.6 a tab. SPM.1). Od doby zpracování hodnotící zprávy AR4 je tento důkaz ještě silnější. Je </w:t>
                      </w:r>
                      <w:r w:rsidRPr="005D06A6">
                        <w:rPr>
                          <w:b/>
                          <w:i/>
                          <w:color w:val="984806" w:themeColor="accent6" w:themeShade="80"/>
                        </w:rPr>
                        <w:t>extrémně pravděpodobné</w:t>
                      </w:r>
                      <w:r w:rsidRPr="005D06A6">
                        <w:rPr>
                          <w:b/>
                          <w:color w:val="984806" w:themeColor="accent6" w:themeShade="80"/>
                        </w:rPr>
                        <w:t>, že vliv člověka byl dominantní příčinou pozorovaného oteplení od poloviny 20. století.</w:t>
                      </w:r>
                      <w:r w:rsidRPr="005D06A6">
                        <w:rPr>
                          <w:b/>
                          <w:color w:val="984806" w:themeColor="accent6" w:themeShade="80"/>
                          <w:spacing w:val="8"/>
                        </w:rPr>
                        <w:t xml:space="preserve"> </w:t>
                      </w:r>
                      <w:r w:rsidRPr="005D06A6">
                        <w:rPr>
                          <w:b/>
                          <w:color w:val="984806" w:themeColor="accent6" w:themeShade="80"/>
                          <w:spacing w:val="1"/>
                          <w:sz w:val="16"/>
                          <w:szCs w:val="16"/>
                        </w:rPr>
                        <w:t>{10.3-10.6, 10.9}</w:t>
                      </w:r>
                    </w:p>
                  </w:txbxContent>
                </v:textbox>
              </v:shape>
            </w:pict>
          </mc:Fallback>
        </mc:AlternateContent>
      </w:r>
    </w:p>
    <w:p w:rsidR="005D06A6" w:rsidRDefault="005D06A6" w:rsidP="005D06A6">
      <w:pPr>
        <w:shd w:val="clear" w:color="auto" w:fill="FFFFFF"/>
        <w:tabs>
          <w:tab w:val="left" w:pos="360"/>
        </w:tabs>
        <w:jc w:val="both"/>
        <w:rPr>
          <w:b/>
          <w:color w:val="000000"/>
          <w:sz w:val="28"/>
          <w:szCs w:val="28"/>
        </w:rPr>
      </w:pPr>
    </w:p>
    <w:p w:rsidR="005D06A6" w:rsidRDefault="005D06A6" w:rsidP="005D06A6">
      <w:pPr>
        <w:shd w:val="clear" w:color="auto" w:fill="FFFFFF"/>
        <w:tabs>
          <w:tab w:val="left" w:pos="360"/>
        </w:tabs>
        <w:jc w:val="both"/>
        <w:rPr>
          <w:b/>
          <w:color w:val="000000"/>
          <w:sz w:val="28"/>
          <w:szCs w:val="28"/>
        </w:rPr>
      </w:pPr>
    </w:p>
    <w:p w:rsidR="005D06A6" w:rsidRDefault="005D06A6" w:rsidP="005D06A6">
      <w:pPr>
        <w:shd w:val="clear" w:color="auto" w:fill="FFFFFF"/>
        <w:tabs>
          <w:tab w:val="left" w:pos="360"/>
        </w:tabs>
        <w:jc w:val="both"/>
        <w:rPr>
          <w:b/>
          <w:color w:val="000000"/>
          <w:spacing w:val="7"/>
          <w:sz w:val="28"/>
          <w:szCs w:val="28"/>
        </w:rPr>
      </w:pPr>
    </w:p>
    <w:p w:rsidR="005D06A6" w:rsidRPr="005D06A6" w:rsidRDefault="005D06A6" w:rsidP="005D06A6">
      <w:pPr>
        <w:shd w:val="clear" w:color="auto" w:fill="FFFFFF"/>
        <w:tabs>
          <w:tab w:val="left" w:pos="360"/>
        </w:tabs>
        <w:jc w:val="both"/>
        <w:rPr>
          <w:b/>
          <w:color w:val="000000"/>
          <w:spacing w:val="7"/>
          <w:sz w:val="28"/>
          <w:szCs w:val="28"/>
        </w:rPr>
      </w:pPr>
    </w:p>
    <w:p w:rsidR="005D06A6" w:rsidRDefault="005D06A6" w:rsidP="005D06A6">
      <w:pPr>
        <w:numPr>
          <w:ilvl w:val="0"/>
          <w:numId w:val="10"/>
        </w:numPr>
        <w:shd w:val="clear" w:color="auto" w:fill="FFFFFF"/>
        <w:tabs>
          <w:tab w:val="left" w:pos="360"/>
        </w:tabs>
        <w:ind w:left="363" w:hanging="357"/>
        <w:jc w:val="both"/>
        <w:rPr>
          <w:color w:val="000000"/>
        </w:rPr>
      </w:pPr>
      <w:r w:rsidRPr="005D06A6">
        <w:rPr>
          <w:color w:val="000000"/>
          <w:spacing w:val="4"/>
        </w:rPr>
        <w:t xml:space="preserve">Je </w:t>
      </w:r>
      <w:r w:rsidRPr="005D06A6">
        <w:rPr>
          <w:i/>
          <w:color w:val="000000"/>
          <w:spacing w:val="4"/>
        </w:rPr>
        <w:t>extrémně pravděpodobné</w:t>
      </w:r>
      <w:r w:rsidRPr="005D06A6">
        <w:rPr>
          <w:color w:val="000000"/>
          <w:spacing w:val="4"/>
        </w:rPr>
        <w:t>, že více než polovina pozorovaného zvýšení globální průměrné teploty vzduchu při povrchu od roku 1951 do roku 2010 byla způsobena společně antropogenním nárůstem koncentrace skleníkových plynů a dalším antropogenním působením. Nejlepší odhad člověkem způsobeného příspěvku k oteplení je podobný pozorovanému oteplení v tomto období.</w:t>
      </w:r>
      <w:r w:rsidRPr="005D06A6">
        <w:rPr>
          <w:color w:val="000000"/>
        </w:rPr>
        <w:t xml:space="preserve"> {10.3}</w:t>
      </w:r>
    </w:p>
    <w:p w:rsidR="005D06A6" w:rsidRPr="005D06A6" w:rsidRDefault="005D06A6" w:rsidP="005D06A6">
      <w:pPr>
        <w:shd w:val="clear" w:color="auto" w:fill="FFFFFF"/>
        <w:tabs>
          <w:tab w:val="left" w:pos="360"/>
        </w:tabs>
        <w:ind w:left="6"/>
        <w:jc w:val="both"/>
        <w:rPr>
          <w:color w:val="000000"/>
        </w:rPr>
      </w:pPr>
    </w:p>
    <w:p w:rsidR="005D06A6" w:rsidRDefault="005D06A6" w:rsidP="005D06A6">
      <w:pPr>
        <w:numPr>
          <w:ilvl w:val="0"/>
          <w:numId w:val="10"/>
        </w:numPr>
        <w:shd w:val="clear" w:color="auto" w:fill="FFFFFF"/>
        <w:tabs>
          <w:tab w:val="left" w:pos="360"/>
        </w:tabs>
        <w:ind w:left="363" w:hanging="357"/>
        <w:jc w:val="both"/>
        <w:rPr>
          <w:color w:val="000000"/>
          <w:spacing w:val="4"/>
        </w:rPr>
      </w:pPr>
      <w:r w:rsidRPr="005D06A6">
        <w:rPr>
          <w:color w:val="000000"/>
          <w:spacing w:val="4"/>
        </w:rPr>
        <w:t xml:space="preserve">Skleníkové plyny přispěly k průměrnému globálnímu oteplení při povrchu v období let 1951-2010 </w:t>
      </w:r>
      <w:r w:rsidRPr="005D06A6">
        <w:rPr>
          <w:i/>
          <w:color w:val="000000"/>
          <w:spacing w:val="4"/>
        </w:rPr>
        <w:t>pravděpodobně</w:t>
      </w:r>
      <w:r w:rsidRPr="005D06A6">
        <w:rPr>
          <w:color w:val="000000"/>
          <w:spacing w:val="4"/>
        </w:rPr>
        <w:t xml:space="preserve"> v rozsahu 0,5°C až 1,3°C, přičemž příspěvky jiných antropogenních vlivů včetně ochlazovacího efektu aerosolů jsou </w:t>
      </w:r>
      <w:r w:rsidRPr="005D06A6">
        <w:rPr>
          <w:i/>
          <w:color w:val="000000"/>
          <w:spacing w:val="4"/>
        </w:rPr>
        <w:t>pravděpodobně</w:t>
      </w:r>
      <w:r w:rsidRPr="005D06A6">
        <w:rPr>
          <w:color w:val="000000"/>
          <w:spacing w:val="4"/>
        </w:rPr>
        <w:t xml:space="preserve"> v rozsahu -0,6°C až 0,1°C. Příspěvek přirozených vlivů je </w:t>
      </w:r>
      <w:r w:rsidRPr="005D06A6">
        <w:rPr>
          <w:i/>
          <w:color w:val="000000"/>
          <w:spacing w:val="4"/>
        </w:rPr>
        <w:t>pravděpodobně</w:t>
      </w:r>
      <w:r w:rsidRPr="005D06A6">
        <w:rPr>
          <w:color w:val="000000"/>
          <w:spacing w:val="4"/>
        </w:rPr>
        <w:t xml:space="preserve"> v rozsahu -0,1°C až 0,1°C a interní variability </w:t>
      </w:r>
      <w:r w:rsidRPr="005D06A6">
        <w:rPr>
          <w:i/>
          <w:color w:val="000000"/>
          <w:spacing w:val="4"/>
        </w:rPr>
        <w:t>pravděpodobně</w:t>
      </w:r>
      <w:r w:rsidRPr="005D06A6">
        <w:rPr>
          <w:color w:val="000000"/>
          <w:spacing w:val="4"/>
        </w:rPr>
        <w:t xml:space="preserve"> v rozsahu -0,1°C až 0,1°C. Posuzované příspěvky dohromady odpovídají pozorovanému oteplení v tomto období o přibližně 0,6°C až 0,7°C. {10.3}</w:t>
      </w:r>
    </w:p>
    <w:p w:rsidR="005D06A6" w:rsidRPr="005D06A6" w:rsidRDefault="005D06A6" w:rsidP="005D06A6">
      <w:pPr>
        <w:shd w:val="clear" w:color="auto" w:fill="FFFFFF"/>
        <w:tabs>
          <w:tab w:val="left" w:pos="360"/>
        </w:tabs>
        <w:jc w:val="both"/>
        <w:rPr>
          <w:color w:val="000000"/>
          <w:spacing w:val="4"/>
        </w:rPr>
      </w:pPr>
    </w:p>
    <w:p w:rsidR="005D06A6" w:rsidRDefault="005D06A6" w:rsidP="005D06A6">
      <w:pPr>
        <w:numPr>
          <w:ilvl w:val="0"/>
          <w:numId w:val="10"/>
        </w:numPr>
        <w:shd w:val="clear" w:color="auto" w:fill="FFFFFF"/>
        <w:tabs>
          <w:tab w:val="left" w:pos="355"/>
        </w:tabs>
        <w:ind w:left="363" w:hanging="357"/>
        <w:jc w:val="both"/>
        <w:rPr>
          <w:color w:val="000000"/>
          <w:spacing w:val="4"/>
        </w:rPr>
      </w:pPr>
      <w:r w:rsidRPr="005D06A6">
        <w:rPr>
          <w:color w:val="000000"/>
          <w:spacing w:val="4"/>
        </w:rPr>
        <w:t xml:space="preserve">Na každém kontinentu, s výjimkou Antarktidy, znamenalo antropogenní působení </w:t>
      </w:r>
      <w:r w:rsidRPr="005D06A6">
        <w:rPr>
          <w:i/>
          <w:color w:val="000000"/>
          <w:spacing w:val="4"/>
        </w:rPr>
        <w:t>pravděpodobně</w:t>
      </w:r>
      <w:r w:rsidRPr="005D06A6">
        <w:rPr>
          <w:color w:val="000000"/>
          <w:spacing w:val="4"/>
        </w:rPr>
        <w:t xml:space="preserve"> podstatný příspěvek k nárůstu teploty vzduchu při povrchu od poloviny 20. století (viz obr. SPM.6). U Antarktidy je v důsledku velkých neurčitostí v napozorovaných hodnotách jen </w:t>
      </w:r>
      <w:r w:rsidRPr="005D06A6">
        <w:rPr>
          <w:i/>
          <w:color w:val="000000"/>
          <w:spacing w:val="4"/>
        </w:rPr>
        <w:t xml:space="preserve">malá spolehlivost </w:t>
      </w:r>
      <w:r w:rsidRPr="005D06A6">
        <w:rPr>
          <w:color w:val="000000"/>
          <w:spacing w:val="4"/>
        </w:rPr>
        <w:t xml:space="preserve">toho, že zde k pozorovanému oteplení na dostupných stanicích přispěl antropogenní vliv. Je </w:t>
      </w:r>
      <w:r w:rsidRPr="005D06A6">
        <w:rPr>
          <w:i/>
          <w:color w:val="000000"/>
          <w:spacing w:val="4"/>
        </w:rPr>
        <w:t>pravděpodobné</w:t>
      </w:r>
      <w:r w:rsidRPr="005D06A6">
        <w:rPr>
          <w:color w:val="000000"/>
          <w:spacing w:val="4"/>
        </w:rPr>
        <w:t>, že antropogenní vliv přispěl k velmi podstatnému oteplení Arktidy od poloviny 20. století. {2.4, 10.3}</w:t>
      </w:r>
    </w:p>
    <w:p w:rsidR="005D06A6" w:rsidRPr="005D06A6" w:rsidRDefault="005D06A6" w:rsidP="005D06A6">
      <w:pPr>
        <w:shd w:val="clear" w:color="auto" w:fill="FFFFFF"/>
        <w:tabs>
          <w:tab w:val="left" w:pos="355"/>
        </w:tabs>
        <w:ind w:left="6"/>
        <w:jc w:val="both"/>
        <w:rPr>
          <w:color w:val="000000"/>
          <w:spacing w:val="4"/>
        </w:rPr>
      </w:pPr>
    </w:p>
    <w:p w:rsidR="005D06A6" w:rsidRDefault="005D06A6" w:rsidP="005D06A6">
      <w:pPr>
        <w:numPr>
          <w:ilvl w:val="0"/>
          <w:numId w:val="10"/>
        </w:numPr>
        <w:shd w:val="clear" w:color="auto" w:fill="FFFFFF"/>
        <w:tabs>
          <w:tab w:val="left" w:pos="355"/>
        </w:tabs>
        <w:ind w:left="363" w:hanging="357"/>
        <w:jc w:val="both"/>
        <w:rPr>
          <w:color w:val="000000"/>
          <w:spacing w:val="4"/>
        </w:rPr>
      </w:pPr>
      <w:r w:rsidRPr="005D06A6">
        <w:rPr>
          <w:color w:val="000000"/>
          <w:spacing w:val="4"/>
        </w:rPr>
        <w:t xml:space="preserve">Je </w:t>
      </w:r>
      <w:r w:rsidRPr="005D06A6">
        <w:rPr>
          <w:i/>
          <w:color w:val="000000"/>
          <w:spacing w:val="4"/>
        </w:rPr>
        <w:t>velmi pravděpodobné</w:t>
      </w:r>
      <w:r w:rsidRPr="005D06A6">
        <w:rPr>
          <w:color w:val="000000"/>
          <w:spacing w:val="4"/>
        </w:rPr>
        <w:t>, že antropogenní vliv, zejména skleníkové plyny a úbytek stratosférického ozónu, vedl k detekovatelnému pozorovanému rozložení troposférického oteplení a odpovídajícímu ochlazení v nižší stratosféře od roku 1961. {2.4, 9.4, 10.3}</w:t>
      </w:r>
    </w:p>
    <w:p w:rsidR="005D06A6" w:rsidRPr="005D06A6" w:rsidRDefault="005D06A6" w:rsidP="005D06A6">
      <w:pPr>
        <w:shd w:val="clear" w:color="auto" w:fill="FFFFFF"/>
        <w:tabs>
          <w:tab w:val="left" w:pos="355"/>
        </w:tabs>
        <w:jc w:val="both"/>
        <w:rPr>
          <w:color w:val="000000"/>
          <w:spacing w:val="4"/>
        </w:rPr>
      </w:pPr>
    </w:p>
    <w:p w:rsidR="005D06A6" w:rsidRDefault="005D06A6" w:rsidP="005D06A6">
      <w:pPr>
        <w:numPr>
          <w:ilvl w:val="0"/>
          <w:numId w:val="10"/>
        </w:numPr>
        <w:shd w:val="clear" w:color="auto" w:fill="FFFFFF"/>
        <w:tabs>
          <w:tab w:val="left" w:pos="355"/>
        </w:tabs>
        <w:ind w:left="363" w:hanging="357"/>
        <w:jc w:val="both"/>
        <w:rPr>
          <w:color w:val="000000"/>
          <w:spacing w:val="4"/>
        </w:rPr>
      </w:pPr>
      <w:r w:rsidRPr="005D06A6">
        <w:rPr>
          <w:color w:val="000000"/>
          <w:spacing w:val="4"/>
        </w:rPr>
        <w:t xml:space="preserve">Je </w:t>
      </w:r>
      <w:r w:rsidRPr="005D06A6">
        <w:rPr>
          <w:i/>
          <w:color w:val="000000"/>
          <w:spacing w:val="4"/>
        </w:rPr>
        <w:t>velmi pravděpodobné</w:t>
      </w:r>
      <w:r w:rsidRPr="005D06A6">
        <w:rPr>
          <w:color w:val="000000"/>
          <w:spacing w:val="4"/>
        </w:rPr>
        <w:t>, že antropogenní vliv znamenal podstatný příspěvek ke zvýšení globálního obsahu tepla ve svrchních vrstvách oceánu (0-700 m), pozorovanému od sedmdesátých let minulého století (viz obr. SPM.6). U některých oceánských pánví existují důkazy o vlivu člověka. {3.2, 10.4}</w:t>
      </w:r>
    </w:p>
    <w:p w:rsidR="005D06A6" w:rsidRPr="005D06A6" w:rsidRDefault="005D06A6" w:rsidP="005D06A6">
      <w:pPr>
        <w:shd w:val="clear" w:color="auto" w:fill="FFFFFF"/>
        <w:tabs>
          <w:tab w:val="left" w:pos="355"/>
        </w:tabs>
        <w:jc w:val="both"/>
        <w:rPr>
          <w:color w:val="000000"/>
          <w:spacing w:val="4"/>
        </w:rPr>
      </w:pPr>
    </w:p>
    <w:p w:rsidR="005D06A6" w:rsidRDefault="005D06A6" w:rsidP="005D06A6">
      <w:pPr>
        <w:numPr>
          <w:ilvl w:val="0"/>
          <w:numId w:val="10"/>
        </w:numPr>
        <w:shd w:val="clear" w:color="auto" w:fill="FFFFFF"/>
        <w:tabs>
          <w:tab w:val="left" w:pos="355"/>
        </w:tabs>
        <w:ind w:left="363" w:hanging="357"/>
        <w:jc w:val="both"/>
        <w:rPr>
          <w:color w:val="000000"/>
          <w:spacing w:val="4"/>
        </w:rPr>
      </w:pPr>
      <w:r w:rsidRPr="005D06A6">
        <w:rPr>
          <w:color w:val="000000"/>
          <w:spacing w:val="4"/>
        </w:rPr>
        <w:t xml:space="preserve">Je </w:t>
      </w:r>
      <w:r w:rsidRPr="005D06A6">
        <w:rPr>
          <w:i/>
          <w:color w:val="000000"/>
          <w:spacing w:val="4"/>
        </w:rPr>
        <w:t>pravděpodobné</w:t>
      </w:r>
      <w:r w:rsidRPr="005D06A6">
        <w:rPr>
          <w:color w:val="000000"/>
          <w:spacing w:val="4"/>
        </w:rPr>
        <w:t>, že antropogenní vlivy od roku 1960 ovlivnily globální koloběh vody. Antropogenní vlivy přispěly k pozorovanému nárůstu obsahu vlhkosti v atmosféře (</w:t>
      </w:r>
      <w:r w:rsidRPr="005D06A6">
        <w:rPr>
          <w:i/>
          <w:color w:val="000000"/>
          <w:spacing w:val="4"/>
        </w:rPr>
        <w:t>střední spolehlivost</w:t>
      </w:r>
      <w:r w:rsidRPr="005D06A6">
        <w:rPr>
          <w:color w:val="000000"/>
          <w:spacing w:val="4"/>
        </w:rPr>
        <w:t>), ke globálním změnám rozložení srážek nad pevninou (</w:t>
      </w:r>
      <w:r w:rsidRPr="005D06A6">
        <w:rPr>
          <w:i/>
          <w:color w:val="000000"/>
          <w:spacing w:val="4"/>
        </w:rPr>
        <w:t>střední spolehlivost</w:t>
      </w:r>
      <w:r w:rsidRPr="005D06A6">
        <w:rPr>
          <w:color w:val="000000"/>
          <w:spacing w:val="4"/>
        </w:rPr>
        <w:t>), k zesílení silných srážek nad pevninskými oblastmi, kde jsou k dispozici dostatečné údaje (</w:t>
      </w:r>
      <w:r w:rsidRPr="005D06A6">
        <w:rPr>
          <w:i/>
          <w:color w:val="000000"/>
          <w:spacing w:val="4"/>
        </w:rPr>
        <w:t>střední spolehlivost</w:t>
      </w:r>
      <w:r w:rsidRPr="005D06A6">
        <w:rPr>
          <w:color w:val="000000"/>
          <w:spacing w:val="4"/>
        </w:rPr>
        <w:t>) a ke změnám slanosti povrchové a podpovrchové oceánské vody (</w:t>
      </w:r>
      <w:r w:rsidRPr="005D06A6">
        <w:rPr>
          <w:i/>
          <w:color w:val="000000"/>
          <w:spacing w:val="4"/>
        </w:rPr>
        <w:t>velmi pravděpodobně</w:t>
      </w:r>
      <w:r w:rsidRPr="005D06A6">
        <w:rPr>
          <w:color w:val="000000"/>
          <w:spacing w:val="4"/>
        </w:rPr>
        <w:t>). {2.5, 2.6, 3.3, 7.6, 10.3, 10.4}</w:t>
      </w:r>
    </w:p>
    <w:p w:rsidR="005D06A6" w:rsidRDefault="005D06A6" w:rsidP="005D06A6">
      <w:pPr>
        <w:pStyle w:val="Odstavecseseznamem"/>
        <w:rPr>
          <w:color w:val="000000"/>
          <w:spacing w:val="4"/>
        </w:rPr>
      </w:pPr>
    </w:p>
    <w:p w:rsidR="005D06A6" w:rsidRPr="005D06A6" w:rsidRDefault="005D06A6" w:rsidP="005D06A6">
      <w:pPr>
        <w:shd w:val="clear" w:color="auto" w:fill="FFFFFF"/>
        <w:tabs>
          <w:tab w:val="left" w:pos="355"/>
        </w:tabs>
        <w:ind w:left="6"/>
        <w:jc w:val="both"/>
        <w:rPr>
          <w:color w:val="000000"/>
          <w:spacing w:val="4"/>
        </w:rPr>
      </w:pPr>
      <w:r>
        <w:rPr>
          <w:noProof/>
          <w:color w:val="000000"/>
          <w:spacing w:val="4"/>
        </w:rPr>
        <w:drawing>
          <wp:inline distT="0" distB="0" distL="0" distR="0">
            <wp:extent cx="6184900" cy="6346825"/>
            <wp:effectExtent l="19050" t="0" r="6350" b="0"/>
            <wp:docPr id="10" name="Obrázek 9" descr="SPM Fig6_final-C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M Fig6_final-CZ.jpg"/>
                    <pic:cNvPicPr/>
                  </pic:nvPicPr>
                  <pic:blipFill>
                    <a:blip r:embed="rId18" cstate="print"/>
                    <a:stretch>
                      <a:fillRect/>
                    </a:stretch>
                  </pic:blipFill>
                  <pic:spPr>
                    <a:xfrm>
                      <a:off x="0" y="0"/>
                      <a:ext cx="6184900" cy="6346825"/>
                    </a:xfrm>
                    <a:prstGeom prst="rect">
                      <a:avLst/>
                    </a:prstGeom>
                  </pic:spPr>
                </pic:pic>
              </a:graphicData>
            </a:graphic>
          </wp:inline>
        </w:drawing>
      </w:r>
    </w:p>
    <w:p w:rsidR="005D06A6" w:rsidRDefault="005D06A6" w:rsidP="005D06A6">
      <w:pPr>
        <w:shd w:val="clear" w:color="auto" w:fill="FFFFFF"/>
        <w:spacing w:line="230" w:lineRule="exact"/>
        <w:ind w:right="10"/>
        <w:jc w:val="both"/>
        <w:rPr>
          <w:rFonts w:ascii="Calibri" w:hAnsi="Calibri"/>
          <w:b/>
          <w:bCs/>
          <w:color w:val="000000"/>
          <w:spacing w:val="-10"/>
          <w:sz w:val="22"/>
          <w:szCs w:val="22"/>
        </w:rPr>
      </w:pPr>
    </w:p>
    <w:p w:rsidR="005D06A6" w:rsidRDefault="005D06A6" w:rsidP="005D06A6">
      <w:pPr>
        <w:shd w:val="clear" w:color="auto" w:fill="FFFFFF"/>
        <w:spacing w:line="230" w:lineRule="exact"/>
        <w:ind w:right="10"/>
        <w:jc w:val="both"/>
        <w:rPr>
          <w:b/>
          <w:bCs/>
          <w:color w:val="000000"/>
          <w:spacing w:val="-10"/>
          <w:sz w:val="16"/>
          <w:szCs w:val="16"/>
        </w:rPr>
      </w:pPr>
    </w:p>
    <w:p w:rsidR="005D06A6" w:rsidRPr="005D06A6" w:rsidRDefault="00743C8E" w:rsidP="005D06A6">
      <w:pPr>
        <w:shd w:val="clear" w:color="auto" w:fill="FFFFFF"/>
        <w:spacing w:line="230" w:lineRule="exact"/>
        <w:ind w:right="10"/>
        <w:jc w:val="both"/>
        <w:rPr>
          <w:bCs/>
          <w:color w:val="000000"/>
          <w:spacing w:val="-10"/>
          <w:sz w:val="16"/>
          <w:szCs w:val="16"/>
        </w:rPr>
      </w:pPr>
      <w:r>
        <w:rPr>
          <w:b/>
          <w:bCs/>
          <w:color w:val="000000"/>
          <w:spacing w:val="-10"/>
          <w:sz w:val="16"/>
          <w:szCs w:val="16"/>
        </w:rPr>
        <w:t>Obr.</w:t>
      </w:r>
      <w:r w:rsidR="005D06A6" w:rsidRPr="005D06A6">
        <w:rPr>
          <w:b/>
          <w:bCs/>
          <w:color w:val="000000"/>
          <w:spacing w:val="-10"/>
          <w:sz w:val="16"/>
          <w:szCs w:val="16"/>
        </w:rPr>
        <w:t xml:space="preserve"> SPM.6: </w:t>
      </w:r>
      <w:r w:rsidR="005D06A6" w:rsidRPr="005D06A6">
        <w:rPr>
          <w:bCs/>
          <w:color w:val="000000"/>
          <w:spacing w:val="-10"/>
          <w:sz w:val="16"/>
          <w:szCs w:val="16"/>
        </w:rPr>
        <w:t xml:space="preserve">Srovnání pozorované a simulované změny klimatu na základě tří velkoprostorových indikátorů v atmosféře, kryosféře a oceánu: změna teplot vzduchu při povrchu nad kontinenty (žluté panely), rozsah arktického a antarktického mořského ledu v září (bílé panely) a obsah tepla ve svrchních vrstvách oceánu ve velkých oceánských pánvích (modré panely). Uvedeny jsou také globální průměrné změny. Anomálie jsou uvedeny vzhledem k období 1880-1919 u teplot vzduchu při povrchu, 1960-1980 u obsahu tepla v oceánu a 1979-1999 u mořského ledu. Všechny časové řady jsou průměry za desetiletí vyznačené ke středu dekády. U teplotních panelů jsou pozorování vyznačena přerušovanou čarou, pokud prostorové pokrytí zkoumaných oblastí bylo pod 50 %. U panelů znázorňujících obsah tepla v oceánu a mořský led je použita plná čára tam, kde je dobré datové pokrytí a vyšší kvalita dat a přerušovaná čára je tam, kde je datové pokrytí jen dostatečné a neurčitost je tedy větší. Znázorněné výsledky modelů jsou rozsahy ansámblů z multimodelových výstupů z projektu CMIP5, kde vystínovaná pásma označují intervaly spolehlivosti 5 až 95 %. Další odborné informace, včetně definic oblastí, jsou uvedeny v Dodatku k Technical Summary </w:t>
      </w:r>
      <w:r w:rsidR="005D06A6" w:rsidRPr="005D06A6">
        <w:rPr>
          <w:color w:val="000000"/>
          <w:spacing w:val="-9"/>
          <w:sz w:val="16"/>
          <w:szCs w:val="16"/>
        </w:rPr>
        <w:t>{obr. 10.21; obr. TS.12}</w:t>
      </w:r>
    </w:p>
    <w:p w:rsidR="00786EA5" w:rsidRDefault="00786EA5" w:rsidP="00786EA5">
      <w:pPr>
        <w:shd w:val="clear" w:color="auto" w:fill="FFFFFF"/>
        <w:tabs>
          <w:tab w:val="left" w:pos="360"/>
        </w:tabs>
        <w:spacing w:before="269" w:line="250" w:lineRule="exact"/>
        <w:jc w:val="both"/>
        <w:rPr>
          <w:b/>
          <w:color w:val="000000"/>
          <w:sz w:val="28"/>
          <w:szCs w:val="28"/>
        </w:rPr>
      </w:pPr>
    </w:p>
    <w:p w:rsidR="005D06A6" w:rsidRDefault="005D06A6" w:rsidP="00786EA5">
      <w:pPr>
        <w:shd w:val="clear" w:color="auto" w:fill="FFFFFF"/>
        <w:tabs>
          <w:tab w:val="left" w:pos="360"/>
        </w:tabs>
        <w:spacing w:before="269" w:line="250" w:lineRule="exact"/>
        <w:jc w:val="both"/>
        <w:rPr>
          <w:b/>
          <w:color w:val="000000"/>
          <w:sz w:val="28"/>
          <w:szCs w:val="28"/>
        </w:rPr>
      </w:pPr>
    </w:p>
    <w:p w:rsidR="005D06A6" w:rsidRPr="005D06A6" w:rsidRDefault="005D06A6" w:rsidP="005D06A6">
      <w:pPr>
        <w:numPr>
          <w:ilvl w:val="0"/>
          <w:numId w:val="10"/>
        </w:numPr>
        <w:shd w:val="clear" w:color="auto" w:fill="FFFFFF"/>
        <w:tabs>
          <w:tab w:val="left" w:pos="426"/>
        </w:tabs>
        <w:spacing w:before="269" w:line="250" w:lineRule="exact"/>
        <w:ind w:left="426" w:hanging="421"/>
        <w:jc w:val="both"/>
        <w:rPr>
          <w:color w:val="000000"/>
          <w:spacing w:val="4"/>
        </w:rPr>
      </w:pPr>
      <w:r w:rsidRPr="005D06A6">
        <w:rPr>
          <w:color w:val="000000"/>
          <w:spacing w:val="4"/>
        </w:rPr>
        <w:lastRenderedPageBreak/>
        <w:t xml:space="preserve">Od vydání zprávy SREX dále zesílily důkazy o vlivu člověka na teplotní extrémy. Nyní je </w:t>
      </w:r>
      <w:r w:rsidRPr="005D06A6">
        <w:rPr>
          <w:i/>
          <w:color w:val="000000"/>
          <w:spacing w:val="4"/>
        </w:rPr>
        <w:t>velmi pravděpodobné</w:t>
      </w:r>
      <w:r w:rsidRPr="005D06A6">
        <w:rPr>
          <w:color w:val="000000"/>
          <w:spacing w:val="4"/>
        </w:rPr>
        <w:t xml:space="preserve">, že k pozorovaným globálním změnám v četnosti a intenzitě denních teplotních extrémů od poloviny 20. století přispěl vliv člověka, a je </w:t>
      </w:r>
      <w:r w:rsidRPr="005D06A6">
        <w:rPr>
          <w:i/>
          <w:color w:val="000000"/>
          <w:spacing w:val="4"/>
        </w:rPr>
        <w:t>pravděpodobné</w:t>
      </w:r>
      <w:r w:rsidRPr="005D06A6">
        <w:rPr>
          <w:color w:val="000000"/>
          <w:spacing w:val="4"/>
        </w:rPr>
        <w:t>, že vliv člověka více než zdvojnásobil pravděpodobnost výskytu vln horka v některých lokalitách (viz tab. SPM.1). {10.6}</w:t>
      </w:r>
    </w:p>
    <w:p w:rsidR="005D06A6" w:rsidRPr="005D06A6" w:rsidRDefault="005D06A6" w:rsidP="005D06A6">
      <w:pPr>
        <w:numPr>
          <w:ilvl w:val="0"/>
          <w:numId w:val="10"/>
        </w:numPr>
        <w:shd w:val="clear" w:color="auto" w:fill="FFFFFF"/>
        <w:tabs>
          <w:tab w:val="left" w:pos="426"/>
        </w:tabs>
        <w:spacing w:before="269" w:line="250" w:lineRule="exact"/>
        <w:ind w:left="426" w:hanging="421"/>
        <w:jc w:val="both"/>
        <w:rPr>
          <w:color w:val="000000"/>
          <w:spacing w:val="4"/>
        </w:rPr>
      </w:pPr>
      <w:r w:rsidRPr="005D06A6">
        <w:rPr>
          <w:color w:val="000000"/>
          <w:spacing w:val="4"/>
        </w:rPr>
        <w:t xml:space="preserve">Antropogenní vlivy </w:t>
      </w:r>
      <w:r w:rsidRPr="005D06A6">
        <w:rPr>
          <w:i/>
          <w:color w:val="000000"/>
          <w:spacing w:val="4"/>
        </w:rPr>
        <w:t>velmi pravděpodobně</w:t>
      </w:r>
      <w:r w:rsidRPr="005D06A6">
        <w:rPr>
          <w:color w:val="000000"/>
          <w:spacing w:val="4"/>
        </w:rPr>
        <w:t xml:space="preserve"> přispěly k úbytku arktického mořského ledu od roku 1979. Vědecké chápání malého pozorovaného nárůstu mořského ledu v oceánu v okolí Antarktidy se vyznačuje </w:t>
      </w:r>
      <w:r w:rsidRPr="005D06A6">
        <w:rPr>
          <w:i/>
          <w:color w:val="000000"/>
          <w:spacing w:val="4"/>
        </w:rPr>
        <w:t>nízkou spolehlivostí</w:t>
      </w:r>
      <w:r w:rsidRPr="005D06A6">
        <w:rPr>
          <w:color w:val="000000"/>
          <w:spacing w:val="4"/>
        </w:rPr>
        <w:t xml:space="preserve"> vzhledem k neúplným a rozporným vědeckým vysvětlením příčin této změny; také odhady interní variability v tomto regionu mají </w:t>
      </w:r>
      <w:r w:rsidRPr="005D06A6">
        <w:rPr>
          <w:i/>
          <w:color w:val="000000"/>
          <w:spacing w:val="4"/>
        </w:rPr>
        <w:t xml:space="preserve">nízkou spolehlivost </w:t>
      </w:r>
      <w:r w:rsidRPr="005D06A6">
        <w:rPr>
          <w:color w:val="000000"/>
          <w:spacing w:val="4"/>
        </w:rPr>
        <w:t>(viz obr.SPM.6). {10.5}</w:t>
      </w:r>
    </w:p>
    <w:p w:rsidR="005D06A6" w:rsidRPr="005D06A6" w:rsidRDefault="005D06A6" w:rsidP="005D06A6">
      <w:pPr>
        <w:numPr>
          <w:ilvl w:val="0"/>
          <w:numId w:val="10"/>
        </w:numPr>
        <w:shd w:val="clear" w:color="auto" w:fill="FFFFFF"/>
        <w:tabs>
          <w:tab w:val="left" w:pos="426"/>
        </w:tabs>
        <w:spacing w:before="269" w:line="250" w:lineRule="exact"/>
        <w:ind w:left="426" w:hanging="421"/>
        <w:jc w:val="both"/>
        <w:rPr>
          <w:color w:val="000000"/>
          <w:spacing w:val="4"/>
        </w:rPr>
      </w:pPr>
      <w:r w:rsidRPr="005D06A6">
        <w:rPr>
          <w:color w:val="000000"/>
          <w:spacing w:val="4"/>
        </w:rPr>
        <w:t xml:space="preserve">Antropogenní vlivy </w:t>
      </w:r>
      <w:r w:rsidRPr="005D06A6">
        <w:rPr>
          <w:i/>
          <w:color w:val="000000"/>
          <w:spacing w:val="4"/>
        </w:rPr>
        <w:t>pravděpodobně</w:t>
      </w:r>
      <w:r w:rsidRPr="005D06A6">
        <w:rPr>
          <w:color w:val="000000"/>
          <w:spacing w:val="4"/>
        </w:rPr>
        <w:t xml:space="preserve"> přispěly k ústupu ledovců od šedesátých let minulého století a k rostoucímu úbytku povrchové hmoty grónského ledového příkrovu od roku 1993. Vzhledem k nízké úrovni vědeckého poznání lze stanovit příčiny pozorovaného úbytku hmoty antarktického ledového příkrovu v posledních dvou desetiletích jen s </w:t>
      </w:r>
      <w:r w:rsidRPr="005D06A6">
        <w:rPr>
          <w:i/>
          <w:color w:val="000000"/>
          <w:spacing w:val="4"/>
        </w:rPr>
        <w:t>nízkou spolehlivostí</w:t>
      </w:r>
      <w:r w:rsidRPr="005D06A6">
        <w:rPr>
          <w:color w:val="000000"/>
          <w:spacing w:val="4"/>
        </w:rPr>
        <w:t xml:space="preserve"> {4.3, 10.5}</w:t>
      </w:r>
    </w:p>
    <w:p w:rsidR="005D06A6" w:rsidRPr="005D06A6" w:rsidRDefault="005D06A6" w:rsidP="005D06A6">
      <w:pPr>
        <w:numPr>
          <w:ilvl w:val="0"/>
          <w:numId w:val="10"/>
        </w:numPr>
        <w:shd w:val="clear" w:color="auto" w:fill="FFFFFF"/>
        <w:tabs>
          <w:tab w:val="left" w:pos="426"/>
        </w:tabs>
        <w:spacing w:before="269" w:line="250" w:lineRule="exact"/>
        <w:ind w:left="426" w:hanging="421"/>
        <w:jc w:val="both"/>
        <w:rPr>
          <w:color w:val="000000"/>
          <w:spacing w:val="4"/>
        </w:rPr>
      </w:pPr>
      <w:r w:rsidRPr="005D06A6">
        <w:rPr>
          <w:color w:val="000000"/>
          <w:spacing w:val="4"/>
        </w:rPr>
        <w:t xml:space="preserve">Je </w:t>
      </w:r>
      <w:r w:rsidRPr="005D06A6">
        <w:rPr>
          <w:i/>
          <w:color w:val="000000"/>
          <w:spacing w:val="4"/>
        </w:rPr>
        <w:t>pravděpodobné</w:t>
      </w:r>
      <w:r w:rsidRPr="005D06A6">
        <w:rPr>
          <w:color w:val="000000"/>
          <w:spacing w:val="4"/>
        </w:rPr>
        <w:t>, že u pozorovaného snížení jarní sněhové pokrývky na severní polokouli od roku 1970 hrál svou roli antropogenní příspěvek. {10.5}</w:t>
      </w:r>
    </w:p>
    <w:p w:rsidR="005D06A6" w:rsidRPr="005D06A6" w:rsidRDefault="005D06A6" w:rsidP="005D06A6">
      <w:pPr>
        <w:numPr>
          <w:ilvl w:val="0"/>
          <w:numId w:val="10"/>
        </w:numPr>
        <w:shd w:val="clear" w:color="auto" w:fill="FFFFFF"/>
        <w:tabs>
          <w:tab w:val="left" w:pos="426"/>
        </w:tabs>
        <w:spacing w:before="269" w:line="250" w:lineRule="exact"/>
        <w:ind w:left="426" w:hanging="421"/>
        <w:jc w:val="both"/>
        <w:rPr>
          <w:color w:val="000000"/>
          <w:spacing w:val="4"/>
        </w:rPr>
      </w:pPr>
      <w:r w:rsidRPr="005D06A6">
        <w:rPr>
          <w:color w:val="000000"/>
          <w:spacing w:val="4"/>
        </w:rPr>
        <w:t xml:space="preserve">Je </w:t>
      </w:r>
      <w:r w:rsidRPr="005D06A6">
        <w:rPr>
          <w:i/>
          <w:color w:val="000000"/>
          <w:spacing w:val="4"/>
        </w:rPr>
        <w:t>velmi pravděpodobné</w:t>
      </w:r>
      <w:r w:rsidRPr="005D06A6">
        <w:rPr>
          <w:color w:val="000000"/>
          <w:spacing w:val="4"/>
        </w:rPr>
        <w:t>, že od sedmdesátých let minulého století člověk podstatně přispěl ke zvýšení globální střední hladiny oceánu. Tento předpoklad vychází z </w:t>
      </w:r>
      <w:r w:rsidRPr="005D06A6">
        <w:rPr>
          <w:i/>
          <w:color w:val="000000"/>
          <w:spacing w:val="4"/>
        </w:rPr>
        <w:t xml:space="preserve">vysoké spolehlivosti </w:t>
      </w:r>
      <w:r w:rsidRPr="005D06A6">
        <w:rPr>
          <w:color w:val="000000"/>
          <w:spacing w:val="4"/>
        </w:rPr>
        <w:t>antropogenního vlivu na dva největší příspěvky ke zvýšení hladiny oceánu, kterými je teplotní expanze a úbytek hmoty ledovců. {10.4, 10.5, 13.3}</w:t>
      </w:r>
    </w:p>
    <w:p w:rsidR="005D06A6" w:rsidRPr="005D06A6" w:rsidRDefault="005D06A6" w:rsidP="005D06A6">
      <w:pPr>
        <w:pStyle w:val="Odstavecseseznamem"/>
        <w:numPr>
          <w:ilvl w:val="0"/>
          <w:numId w:val="10"/>
        </w:numPr>
        <w:shd w:val="clear" w:color="auto" w:fill="FFFFFF"/>
        <w:tabs>
          <w:tab w:val="left" w:pos="426"/>
        </w:tabs>
        <w:spacing w:before="269" w:line="250" w:lineRule="exact"/>
        <w:ind w:left="426" w:hanging="421"/>
        <w:jc w:val="both"/>
        <w:rPr>
          <w:b/>
          <w:color w:val="000000"/>
        </w:rPr>
      </w:pPr>
      <w:r w:rsidRPr="005D06A6">
        <w:rPr>
          <w:color w:val="000000"/>
          <w:spacing w:val="4"/>
        </w:rPr>
        <w:t xml:space="preserve">Existuje </w:t>
      </w:r>
      <w:r w:rsidRPr="005D06A6">
        <w:rPr>
          <w:i/>
          <w:color w:val="000000"/>
          <w:spacing w:val="4"/>
        </w:rPr>
        <w:t>vysoká spolehlivost</w:t>
      </w:r>
      <w:r w:rsidRPr="005D06A6">
        <w:rPr>
          <w:color w:val="000000"/>
          <w:spacing w:val="4"/>
        </w:rPr>
        <w:t xml:space="preserve">, že změny celkové intenzity slunečního záření nepřispěly ke zvýšení globální průměrné teploty vzduchu při povrchu v období let 1986 až 2008, což vychází z přímých družicových měření celkové intenzity slunečního záření. Existuje </w:t>
      </w:r>
      <w:r w:rsidRPr="005D06A6">
        <w:rPr>
          <w:i/>
          <w:color w:val="000000"/>
          <w:spacing w:val="4"/>
        </w:rPr>
        <w:t>střední spolehlivost</w:t>
      </w:r>
      <w:r w:rsidRPr="005D06A6">
        <w:rPr>
          <w:color w:val="000000"/>
          <w:spacing w:val="4"/>
        </w:rPr>
        <w:t>, že 11-letý cyklus solární aktivity ovlivňuje dekádní kolísání klimatu v některých oblastech. Nebyla zjištěna žádná silná souvislost mezi změnami kosmického záření a oblačností. {7.4, 10.3, box 10.2}</w:t>
      </w:r>
    </w:p>
    <w:p w:rsidR="005D06A6" w:rsidRDefault="005D06A6" w:rsidP="005D06A6">
      <w:pPr>
        <w:shd w:val="clear" w:color="auto" w:fill="FFFFFF"/>
        <w:tabs>
          <w:tab w:val="left" w:pos="426"/>
        </w:tabs>
        <w:jc w:val="both"/>
        <w:rPr>
          <w:b/>
          <w:color w:val="000000"/>
          <w:sz w:val="28"/>
          <w:szCs w:val="28"/>
        </w:rPr>
      </w:pPr>
    </w:p>
    <w:p w:rsidR="005D06A6" w:rsidRDefault="005D06A6" w:rsidP="005D06A6">
      <w:pPr>
        <w:shd w:val="clear" w:color="auto" w:fill="FFFFFF"/>
        <w:tabs>
          <w:tab w:val="left" w:pos="426"/>
        </w:tabs>
        <w:jc w:val="both"/>
        <w:rPr>
          <w:b/>
          <w:color w:val="000000"/>
          <w:sz w:val="28"/>
          <w:szCs w:val="28"/>
        </w:rPr>
      </w:pPr>
      <w:r w:rsidRPr="005D06A6">
        <w:rPr>
          <w:b/>
          <w:color w:val="000000"/>
          <w:sz w:val="28"/>
          <w:szCs w:val="28"/>
        </w:rPr>
        <w:t>E. Budoucí globální a regionální změna klimatu</w:t>
      </w:r>
    </w:p>
    <w:p w:rsidR="005D06A6" w:rsidRDefault="005D06A6" w:rsidP="00D85531">
      <w:pPr>
        <w:shd w:val="clear" w:color="auto" w:fill="FFFFFF"/>
        <w:spacing w:before="120"/>
        <w:jc w:val="both"/>
        <w:rPr>
          <w:i/>
          <w:iCs/>
          <w:color w:val="000000"/>
          <w:spacing w:val="5"/>
        </w:rPr>
      </w:pPr>
      <w:r w:rsidRPr="005D06A6">
        <w:rPr>
          <w:i/>
          <w:iCs/>
          <w:color w:val="000000"/>
          <w:spacing w:val="5"/>
        </w:rPr>
        <w:t>Projekce změn klimatického systému se provádějí pomocí hierarchické řady klimatických modelů, od jednoduchých klimatických modelů přes modely středně složité až po komplexní klimatické modely a modely ESM (Earth System Model). Tyto modely simulují změny podle různých scénářů antropogenního vlivu. Pro nové simulace pomocí klimatických modelů, provedené v rámci projektu CMIP5 (</w:t>
      </w:r>
      <w:r w:rsidRPr="005D06A6">
        <w:rPr>
          <w:rStyle w:val="st"/>
          <w:i/>
        </w:rPr>
        <w:t>Coupled Model Intercomparison Project Phase 5)</w:t>
      </w:r>
      <w:r w:rsidRPr="005D06A6">
        <w:rPr>
          <w:i/>
          <w:iCs/>
          <w:color w:val="000000"/>
          <w:spacing w:val="5"/>
        </w:rPr>
        <w:t xml:space="preserve"> Světového programu výzkumu klimatu (WCRP), byly použity nové scénáře – RCP (Representative Concentration Pathways). Ve všech scénářích RCP jsou koncentrace CO</w:t>
      </w:r>
      <w:r w:rsidRPr="005D06A6">
        <w:rPr>
          <w:i/>
          <w:iCs/>
          <w:color w:val="000000"/>
          <w:spacing w:val="5"/>
          <w:vertAlign w:val="subscript"/>
        </w:rPr>
        <w:t>2</w:t>
      </w:r>
      <w:r w:rsidRPr="005D06A6">
        <w:rPr>
          <w:i/>
          <w:iCs/>
          <w:color w:val="000000"/>
          <w:spacing w:val="5"/>
        </w:rPr>
        <w:t xml:space="preserve"> v roce 2100 vyšší než v současnosti, a to v důsledku dalšího nárůstu kumulativních emisí CO</w:t>
      </w:r>
      <w:r w:rsidRPr="005D06A6">
        <w:rPr>
          <w:i/>
          <w:iCs/>
          <w:color w:val="000000"/>
          <w:spacing w:val="5"/>
          <w:vertAlign w:val="subscript"/>
        </w:rPr>
        <w:t>2</w:t>
      </w:r>
      <w:r w:rsidRPr="005D06A6">
        <w:rPr>
          <w:i/>
          <w:iCs/>
          <w:color w:val="000000"/>
          <w:spacing w:val="5"/>
        </w:rPr>
        <w:t xml:space="preserve"> do atmosféry v 21. století (viz box SPM.1). Projekce v tomto Shrnutí pro politické představitele jsou zpracovány pro konec 21. století (2081-2100) a vztaženy relativně k období 1986-2005, pokud není uvedeno jinak. Aby bylo možné dát tyto projekce do historického kontextu, je nutné zvážit pozorované změny mezi různými obdobími. Podle nejdelšího dostupného datového souboru průměrných globálních teplot vzduchu při povrchu činí pozorovaná změna mezi průměrem za období let 1850-1900 a za referenční období hodnotící zprávy AR5</w:t>
      </w:r>
      <w:r w:rsidRPr="005D06A6">
        <w:rPr>
          <w:i/>
          <w:iCs/>
          <w:color w:val="000000"/>
          <w:spacing w:val="2"/>
        </w:rPr>
        <w:t xml:space="preserve"> 0,61 </w:t>
      </w:r>
      <w:r w:rsidRPr="005D06A6">
        <w:rPr>
          <w:i/>
          <w:iCs/>
          <w:color w:val="000000"/>
          <w:spacing w:val="4"/>
        </w:rPr>
        <w:t xml:space="preserve">[0,55 až 0,67]°C. K oteplení však došlo nad průměr referenčního období </w:t>
      </w:r>
      <w:r w:rsidRPr="005D06A6">
        <w:rPr>
          <w:i/>
          <w:iCs/>
          <w:color w:val="000000"/>
          <w:spacing w:val="5"/>
        </w:rPr>
        <w:t>hodnotící zprávy AR5. Nejde tedy o odhad historického oteplení do současnosti (viz 2. kapitola).</w:t>
      </w:r>
    </w:p>
    <w:p w:rsidR="00D85531" w:rsidRPr="005D06A6" w:rsidRDefault="00C3040A" w:rsidP="00D85531">
      <w:pPr>
        <w:shd w:val="clear" w:color="auto" w:fill="FFFFFF"/>
        <w:spacing w:before="120"/>
        <w:jc w:val="both"/>
        <w:rPr>
          <w:i/>
          <w:iCs/>
          <w:color w:val="000000"/>
          <w:spacing w:val="5"/>
        </w:rPr>
      </w:pPr>
      <w:r>
        <w:rPr>
          <w:i/>
          <w:iCs/>
          <w:noProof/>
          <w:color w:val="000000"/>
          <w:spacing w:val="5"/>
        </w:rPr>
        <mc:AlternateContent>
          <mc:Choice Requires="wps">
            <w:drawing>
              <wp:anchor distT="0" distB="0" distL="114300" distR="114300" simplePos="0" relativeHeight="251680768" behindDoc="0" locked="0" layoutInCell="1" allowOverlap="1">
                <wp:simplePos x="0" y="0"/>
                <wp:positionH relativeFrom="column">
                  <wp:posOffset>66040</wp:posOffset>
                </wp:positionH>
                <wp:positionV relativeFrom="paragraph">
                  <wp:posOffset>67945</wp:posOffset>
                </wp:positionV>
                <wp:extent cx="6114415" cy="539115"/>
                <wp:effectExtent l="8890" t="10795" r="10795" b="12065"/>
                <wp:wrapNone/>
                <wp:docPr id="19"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4415" cy="539115"/>
                        </a:xfrm>
                        <a:prstGeom prst="rect">
                          <a:avLst/>
                        </a:prstGeom>
                        <a:solidFill>
                          <a:schemeClr val="accent6">
                            <a:lumMod val="40000"/>
                            <a:lumOff val="60000"/>
                          </a:schemeClr>
                        </a:solidFill>
                        <a:ln w="9525">
                          <a:solidFill>
                            <a:schemeClr val="accent6">
                              <a:lumMod val="40000"/>
                              <a:lumOff val="60000"/>
                            </a:schemeClr>
                          </a:solidFill>
                          <a:miter lim="800000"/>
                          <a:headEnd/>
                          <a:tailEnd/>
                        </a:ln>
                      </wps:spPr>
                      <wps:txbx>
                        <w:txbxContent>
                          <w:p w:rsidR="00C907E7" w:rsidRPr="00D85531" w:rsidRDefault="00C907E7" w:rsidP="00D85531">
                            <w:pPr>
                              <w:jc w:val="both"/>
                              <w:rPr>
                                <w:b/>
                                <w:color w:val="984806" w:themeColor="accent6" w:themeShade="80"/>
                              </w:rPr>
                            </w:pPr>
                            <w:r w:rsidRPr="00D85531">
                              <w:rPr>
                                <w:b/>
                                <w:color w:val="984806" w:themeColor="accent6" w:themeShade="80"/>
                              </w:rPr>
                              <w:t>Pokračující emise skleníkových plynů způsobí další oteplení a změny ve všech složkách klimatického systému. Omezení klimatické změny bude vyžadovat podstatné a trvalé snižování emisí skleníkových plynů.</w:t>
                            </w:r>
                            <w:r w:rsidRPr="00D85531">
                              <w:rPr>
                                <w:b/>
                                <w:color w:val="984806" w:themeColor="accent6" w:themeShade="80"/>
                                <w:spacing w:val="8"/>
                              </w:rPr>
                              <w:t xml:space="preserve"> </w:t>
                            </w:r>
                            <w:r w:rsidRPr="00D85531">
                              <w:rPr>
                                <w:b/>
                                <w:color w:val="984806" w:themeColor="accent6" w:themeShade="80"/>
                                <w:spacing w:val="1"/>
                                <w:sz w:val="16"/>
                                <w:szCs w:val="16"/>
                              </w:rPr>
                              <w:t>{</w:t>
                            </w:r>
                            <w:r w:rsidRPr="00D85531">
                              <w:rPr>
                                <w:b/>
                                <w:color w:val="984806" w:themeColor="accent6" w:themeShade="80"/>
                                <w:sz w:val="16"/>
                                <w:szCs w:val="16"/>
                              </w:rPr>
                              <w:t>6, 11-14}</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1" o:spid="_x0000_s1037" type="#_x0000_t202" style="position:absolute;left:0;text-align:left;margin-left:5.2pt;margin-top:5.35pt;width:481.45pt;height:42.45pt;z-index:2516807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" fillcolor="#fbd4b4 [1305]" strokecolor="#fbd4b4 [1305]">
                <v:textbox style="mso-fit-shape-to-text:t">
                  <w:txbxContent>
                    <w:p w:rsidR="00C907E7" w:rsidRPr="00D85531" w:rsidRDefault="00C907E7" w:rsidP="00D85531">
                      <w:pPr>
                        <w:jc w:val="both"/>
                        <w:rPr>
                          <w:b/>
                          <w:color w:val="984806" w:themeColor="accent6" w:themeShade="80"/>
                        </w:rPr>
                      </w:pPr>
                      <w:r w:rsidRPr="00D85531">
                        <w:rPr>
                          <w:b/>
                          <w:color w:val="984806" w:themeColor="accent6" w:themeShade="80"/>
                        </w:rPr>
                        <w:t>Pokračující emise skleníkových plynů způsobí další oteplení a změny ve všech složkách klimatického systému. Omezení klimatické změny bude vyžadovat podstatné a trvalé snižování emisí skleníkových plynů.</w:t>
                      </w:r>
                      <w:r w:rsidRPr="00D85531">
                        <w:rPr>
                          <w:b/>
                          <w:color w:val="984806" w:themeColor="accent6" w:themeShade="80"/>
                          <w:spacing w:val="8"/>
                        </w:rPr>
                        <w:t xml:space="preserve"> </w:t>
                      </w:r>
                      <w:r w:rsidRPr="00D85531">
                        <w:rPr>
                          <w:b/>
                          <w:color w:val="984806" w:themeColor="accent6" w:themeShade="80"/>
                          <w:spacing w:val="1"/>
                          <w:sz w:val="16"/>
                          <w:szCs w:val="16"/>
                        </w:rPr>
                        <w:t>{</w:t>
                      </w:r>
                      <w:r w:rsidRPr="00D85531">
                        <w:rPr>
                          <w:b/>
                          <w:color w:val="984806" w:themeColor="accent6" w:themeShade="80"/>
                          <w:sz w:val="16"/>
                          <w:szCs w:val="16"/>
                        </w:rPr>
                        <w:t>6, 11-14}</w:t>
                      </w:r>
                    </w:p>
                  </w:txbxContent>
                </v:textbox>
              </v:shape>
            </w:pict>
          </mc:Fallback>
        </mc:AlternateContent>
      </w:r>
    </w:p>
    <w:p w:rsidR="005D06A6" w:rsidRPr="005D06A6" w:rsidRDefault="005D06A6" w:rsidP="005D06A6">
      <w:pPr>
        <w:shd w:val="clear" w:color="auto" w:fill="FFFFFF"/>
        <w:tabs>
          <w:tab w:val="left" w:pos="426"/>
        </w:tabs>
        <w:jc w:val="both"/>
        <w:rPr>
          <w:b/>
          <w:color w:val="000000"/>
          <w:sz w:val="28"/>
          <w:szCs w:val="28"/>
        </w:rPr>
      </w:pPr>
    </w:p>
    <w:p w:rsidR="00D85531" w:rsidRPr="00D85531" w:rsidRDefault="00D85531" w:rsidP="00D85531">
      <w:pPr>
        <w:numPr>
          <w:ilvl w:val="0"/>
          <w:numId w:val="11"/>
        </w:numPr>
        <w:shd w:val="clear" w:color="auto" w:fill="FFFFFF"/>
        <w:tabs>
          <w:tab w:val="left" w:pos="365"/>
        </w:tabs>
        <w:spacing w:before="427" w:line="250" w:lineRule="exact"/>
        <w:ind w:left="365" w:hanging="355"/>
        <w:jc w:val="both"/>
        <w:rPr>
          <w:color w:val="000000"/>
        </w:rPr>
      </w:pPr>
      <w:r w:rsidRPr="00D85531">
        <w:rPr>
          <w:color w:val="000000"/>
          <w:spacing w:val="2"/>
        </w:rPr>
        <w:t>Projekce pro následující desetiletí ukazují prostorové rozložení klimatické změny podobné změnám projektovaným pro druhou polovinu 21. století, ovšem menší velikosti. Hlavní vliv na klima bude mít i nadále vnitřní variabilita, zejména v krátkodobém a regionálním měřítku. Od poloviny 21. století je velikost projektovaných změn podstatně ovlivněna volbou emisních scénářů</w:t>
      </w:r>
      <w:r w:rsidRPr="00D85531">
        <w:rPr>
          <w:color w:val="000000"/>
          <w:spacing w:val="-1"/>
        </w:rPr>
        <w:t xml:space="preserve"> (box SPM. 1). {11.3, box 11.1, příloha 1}</w:t>
      </w:r>
    </w:p>
    <w:p w:rsidR="000C4BB0" w:rsidRPr="00352481" w:rsidRDefault="000C4BB0" w:rsidP="000C4BB0">
      <w:pPr>
        <w:pStyle w:val="Odstavecseseznamem"/>
        <w:numPr>
          <w:ilvl w:val="0"/>
          <w:numId w:val="11"/>
        </w:numPr>
        <w:shd w:val="clear" w:color="auto" w:fill="FFFFFF"/>
        <w:tabs>
          <w:tab w:val="left" w:pos="426"/>
        </w:tabs>
        <w:ind w:left="426" w:hanging="426"/>
        <w:jc w:val="both"/>
        <w:rPr>
          <w:color w:val="000000"/>
        </w:rPr>
      </w:pPr>
      <w:r w:rsidRPr="000C4BB0">
        <w:rPr>
          <w:color w:val="000000"/>
          <w:spacing w:val="3"/>
        </w:rPr>
        <w:lastRenderedPageBreak/>
        <w:t xml:space="preserve">Projektovaná změna klimatu podle scénářů RCP je po zohlednění rozdílů, vyplývajících ze scénářů, podobná změně zmiňované v hodnotící zprávě AR4 jak z hlediska prostorového rozložení, tak i z hlediska velikosti. Celkový rozptyl projekcí pro vysoké scénáře RCP je užší než u srovnatelných scénářů, které byly použity v hodnotící zprávě AR4, protože na rozdíl od emisních scénářů SRES, použitých v hodnotící zprávě AR4, jsou RCP použité v hodnotící zprávě AR5 definovány jako směry vývoje koncentrací, a proto nejsou u simulací CMIP5, využívajících koncentrace, zohledněny neurčitosti koloběhu uhlíku ovlivňující koncentrace atmosférického </w:t>
      </w:r>
      <w:r w:rsidRPr="000C4BB0">
        <w:rPr>
          <w:color w:val="000000"/>
          <w:spacing w:val="2"/>
        </w:rPr>
        <w:t>CO</w:t>
      </w:r>
      <w:r w:rsidRPr="000C4BB0">
        <w:rPr>
          <w:color w:val="000000"/>
          <w:spacing w:val="2"/>
          <w:vertAlign w:val="subscript"/>
        </w:rPr>
        <w:t>2</w:t>
      </w:r>
      <w:r w:rsidRPr="000C4BB0">
        <w:rPr>
          <w:color w:val="000000"/>
          <w:spacing w:val="-1"/>
        </w:rPr>
        <w:t xml:space="preserve">. Projekce vzestupu hladiny oceánu jsou větší než </w:t>
      </w:r>
      <w:r w:rsidRPr="000C4BB0">
        <w:rPr>
          <w:color w:val="000000"/>
          <w:spacing w:val="3"/>
        </w:rPr>
        <w:t>v hodnotící zprávě AR4, zejména vzhledem k lepšímu modelování příspěvků pevninského ledu.</w:t>
      </w:r>
      <w:r w:rsidRPr="000C4BB0">
        <w:rPr>
          <w:color w:val="000000"/>
          <w:spacing w:val="-1"/>
        </w:rPr>
        <w:t xml:space="preserve"> {11.3, 12.3, 12.4, 13.4, 13.5} </w:t>
      </w:r>
    </w:p>
    <w:p w:rsidR="00352481" w:rsidRDefault="00352481" w:rsidP="00352481">
      <w:pPr>
        <w:shd w:val="clear" w:color="auto" w:fill="FFFFFF"/>
        <w:tabs>
          <w:tab w:val="left" w:pos="426"/>
        </w:tabs>
        <w:jc w:val="both"/>
        <w:rPr>
          <w:color w:val="000000"/>
        </w:rPr>
      </w:pPr>
    </w:p>
    <w:p w:rsidR="00352481" w:rsidRDefault="00352481" w:rsidP="00352481">
      <w:pPr>
        <w:shd w:val="clear" w:color="auto" w:fill="FFFFFF"/>
        <w:tabs>
          <w:tab w:val="left" w:pos="426"/>
        </w:tabs>
        <w:jc w:val="both"/>
        <w:rPr>
          <w:color w:val="000000"/>
        </w:rPr>
      </w:pPr>
    </w:p>
    <w:p w:rsidR="00352481" w:rsidRDefault="00352481" w:rsidP="00352481">
      <w:pPr>
        <w:shd w:val="clear" w:color="auto" w:fill="FFFFFF"/>
        <w:tabs>
          <w:tab w:val="left" w:pos="426"/>
        </w:tabs>
        <w:jc w:val="both"/>
        <w:rPr>
          <w:b/>
          <w:color w:val="000000"/>
          <w:sz w:val="28"/>
          <w:szCs w:val="28"/>
        </w:rPr>
      </w:pPr>
      <w:r w:rsidRPr="00352481">
        <w:rPr>
          <w:b/>
          <w:color w:val="000000"/>
          <w:sz w:val="28"/>
          <w:szCs w:val="28"/>
        </w:rPr>
        <w:t>E.1 Atmosféra: teplota</w:t>
      </w:r>
    </w:p>
    <w:p w:rsidR="00352481" w:rsidRDefault="00C3040A" w:rsidP="00352481">
      <w:pPr>
        <w:shd w:val="clear" w:color="auto" w:fill="FFFFFF"/>
        <w:tabs>
          <w:tab w:val="left" w:pos="426"/>
        </w:tabs>
        <w:jc w:val="both"/>
        <w:rPr>
          <w:b/>
          <w:color w:val="000000"/>
          <w:sz w:val="28"/>
          <w:szCs w:val="28"/>
        </w:rPr>
      </w:pPr>
      <w:r>
        <w:rPr>
          <w:b/>
          <w:noProof/>
          <w:color w:val="000000"/>
          <w:sz w:val="28"/>
          <w:szCs w:val="28"/>
        </w:rPr>
        <mc:AlternateContent>
          <mc:Choice Requires="wps">
            <w:drawing>
              <wp:anchor distT="0" distB="0" distL="114300" distR="114300" simplePos="0" relativeHeight="251681792" behindDoc="0" locked="0" layoutInCell="1" allowOverlap="1">
                <wp:simplePos x="0" y="0"/>
                <wp:positionH relativeFrom="column">
                  <wp:posOffset>-3810</wp:posOffset>
                </wp:positionH>
                <wp:positionV relativeFrom="paragraph">
                  <wp:posOffset>95250</wp:posOffset>
                </wp:positionV>
                <wp:extent cx="6114415" cy="1094105"/>
                <wp:effectExtent l="5715" t="9525" r="13970" b="13335"/>
                <wp:wrapNone/>
                <wp:docPr id="18"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4415" cy="1094105"/>
                        </a:xfrm>
                        <a:prstGeom prst="rect">
                          <a:avLst/>
                        </a:prstGeom>
                        <a:solidFill>
                          <a:schemeClr val="accent6">
                            <a:lumMod val="40000"/>
                            <a:lumOff val="60000"/>
                          </a:schemeClr>
                        </a:solidFill>
                        <a:ln w="9525">
                          <a:solidFill>
                            <a:schemeClr val="accent6">
                              <a:lumMod val="40000"/>
                              <a:lumOff val="60000"/>
                            </a:schemeClr>
                          </a:solidFill>
                          <a:miter lim="800000"/>
                          <a:headEnd/>
                          <a:tailEnd/>
                        </a:ln>
                      </wps:spPr>
                      <wps:txbx>
                        <w:txbxContent>
                          <w:p w:rsidR="00C907E7" w:rsidRPr="00352481" w:rsidRDefault="00C907E7" w:rsidP="00352481">
                            <w:pPr>
                              <w:jc w:val="both"/>
                              <w:rPr>
                                <w:b/>
                                <w:color w:val="984806" w:themeColor="accent6" w:themeShade="80"/>
                                <w:sz w:val="16"/>
                                <w:szCs w:val="16"/>
                              </w:rPr>
                            </w:pPr>
                            <w:r w:rsidRPr="00352481">
                              <w:rPr>
                                <w:b/>
                                <w:color w:val="984806" w:themeColor="accent6" w:themeShade="80"/>
                              </w:rPr>
                              <w:t xml:space="preserve">Změna průměrné globální teploty při povrchu na konci 21. století </w:t>
                            </w:r>
                            <w:r w:rsidRPr="00352481">
                              <w:rPr>
                                <w:b/>
                                <w:i/>
                                <w:color w:val="984806" w:themeColor="accent6" w:themeShade="80"/>
                              </w:rPr>
                              <w:t>pravděpodobně</w:t>
                            </w:r>
                            <w:r w:rsidRPr="00352481">
                              <w:rPr>
                                <w:b/>
                                <w:color w:val="984806" w:themeColor="accent6" w:themeShade="80"/>
                              </w:rPr>
                              <w:t xml:space="preserve"> překročí 1,5°C v porovnání s obdobím let 1850 až 1900 podle všech scénářů RCP s výjimkou RCP2.6. Podle scénáře RCP6.0 a RCP8.5 </w:t>
                            </w:r>
                            <w:r w:rsidRPr="00352481">
                              <w:rPr>
                                <w:b/>
                                <w:i/>
                                <w:color w:val="984806" w:themeColor="accent6" w:themeShade="80"/>
                              </w:rPr>
                              <w:t>pravděpodobně</w:t>
                            </w:r>
                            <w:r w:rsidRPr="00352481">
                              <w:rPr>
                                <w:b/>
                                <w:color w:val="984806" w:themeColor="accent6" w:themeShade="80"/>
                              </w:rPr>
                              <w:t xml:space="preserve"> překročí 2°C a podle scénáře RCP4.5 je </w:t>
                            </w:r>
                            <w:r w:rsidRPr="00352481">
                              <w:rPr>
                                <w:b/>
                                <w:i/>
                                <w:color w:val="984806" w:themeColor="accent6" w:themeShade="80"/>
                              </w:rPr>
                              <w:t>pravděpodobnější</w:t>
                            </w:r>
                            <w:r w:rsidRPr="00352481">
                              <w:rPr>
                                <w:b/>
                                <w:color w:val="984806" w:themeColor="accent6" w:themeShade="80"/>
                              </w:rPr>
                              <w:t xml:space="preserve">, že překročí 2°C, než že se tak nestane. Oteplování bude pokračovat i po roce 2100 podle všech scénářů RCP s výjimkou RCP2.6. Oteplování bude i nadále vykazovat variabilitu mezi jednotlivými roky a dekádami a nebude stejné ve všech oblastech </w:t>
                            </w:r>
                            <w:r w:rsidRPr="00352481">
                              <w:rPr>
                                <w:b/>
                                <w:color w:val="984806" w:themeColor="accent6" w:themeShade="80"/>
                                <w:spacing w:val="2"/>
                              </w:rPr>
                              <w:t xml:space="preserve">(viz obr. SPM.7 a SPM.8). </w:t>
                            </w:r>
                            <w:r w:rsidRPr="00352481">
                              <w:rPr>
                                <w:b/>
                                <w:color w:val="984806" w:themeColor="accent6" w:themeShade="80"/>
                                <w:spacing w:val="2"/>
                                <w:sz w:val="16"/>
                                <w:szCs w:val="16"/>
                              </w:rPr>
                              <w:t xml:space="preserve">{11.3, 12.3, 12.4, </w:t>
                            </w:r>
                            <w:r w:rsidRPr="00352481">
                              <w:rPr>
                                <w:b/>
                                <w:color w:val="984806" w:themeColor="accent6" w:themeShade="80"/>
                                <w:spacing w:val="-6"/>
                                <w:sz w:val="16"/>
                                <w:szCs w:val="16"/>
                              </w:rPr>
                              <w:t>14.8}</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2" o:spid="_x0000_s1038" type="#_x0000_t202" style="position:absolute;left:0;text-align:left;margin-left:-.3pt;margin-top:7.5pt;width:481.45pt;height:86.15pt;z-index:2516817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" fillcolor="#fbd4b4 [1305]" strokecolor="#fbd4b4 [1305]">
                <v:textbox style="mso-fit-shape-to-text:t">
                  <w:txbxContent>
                    <w:p w:rsidR="00C907E7" w:rsidRPr="00352481" w:rsidRDefault="00C907E7" w:rsidP="00352481">
                      <w:pPr>
                        <w:jc w:val="both"/>
                        <w:rPr>
                          <w:b/>
                          <w:color w:val="984806" w:themeColor="accent6" w:themeShade="80"/>
                          <w:sz w:val="16"/>
                          <w:szCs w:val="16"/>
                        </w:rPr>
                      </w:pPr>
                      <w:r w:rsidRPr="00352481">
                        <w:rPr>
                          <w:b/>
                          <w:color w:val="984806" w:themeColor="accent6" w:themeShade="80"/>
                        </w:rPr>
                        <w:t xml:space="preserve">Změna průměrné globální teploty při povrchu na konci 21. století </w:t>
                      </w:r>
                      <w:r w:rsidRPr="00352481">
                        <w:rPr>
                          <w:b/>
                          <w:i/>
                          <w:color w:val="984806" w:themeColor="accent6" w:themeShade="80"/>
                        </w:rPr>
                        <w:t>pravděpodobně</w:t>
                      </w:r>
                      <w:r w:rsidRPr="00352481">
                        <w:rPr>
                          <w:b/>
                          <w:color w:val="984806" w:themeColor="accent6" w:themeShade="80"/>
                        </w:rPr>
                        <w:t xml:space="preserve"> překročí 1,5°C v porovnání s obdobím let 1850 až 1900 podle všech scénářů RCP s výjimkou RCP2.6. Podle scénáře RCP6.0 a RCP8.5 </w:t>
                      </w:r>
                      <w:r w:rsidRPr="00352481">
                        <w:rPr>
                          <w:b/>
                          <w:i/>
                          <w:color w:val="984806" w:themeColor="accent6" w:themeShade="80"/>
                        </w:rPr>
                        <w:t>pravděpodobně</w:t>
                      </w:r>
                      <w:r w:rsidRPr="00352481">
                        <w:rPr>
                          <w:b/>
                          <w:color w:val="984806" w:themeColor="accent6" w:themeShade="80"/>
                        </w:rPr>
                        <w:t xml:space="preserve"> překročí 2°C a podle scénáře RCP4.5 je </w:t>
                      </w:r>
                      <w:r w:rsidRPr="00352481">
                        <w:rPr>
                          <w:b/>
                          <w:i/>
                          <w:color w:val="984806" w:themeColor="accent6" w:themeShade="80"/>
                        </w:rPr>
                        <w:t>pravděpodobnější</w:t>
                      </w:r>
                      <w:r w:rsidRPr="00352481">
                        <w:rPr>
                          <w:b/>
                          <w:color w:val="984806" w:themeColor="accent6" w:themeShade="80"/>
                        </w:rPr>
                        <w:t xml:space="preserve">, že překročí 2°C, než že se tak nestane. Oteplování bude pokračovat i po roce 2100 podle všech scénářů RCP s výjimkou RCP2.6. Oteplování bude i nadále vykazovat variabilitu mezi jednotlivými roky a dekádami a nebude stejné ve všech oblastech </w:t>
                      </w:r>
                      <w:r w:rsidRPr="00352481">
                        <w:rPr>
                          <w:b/>
                          <w:color w:val="984806" w:themeColor="accent6" w:themeShade="80"/>
                          <w:spacing w:val="2"/>
                        </w:rPr>
                        <w:t xml:space="preserve">(viz obr. SPM.7 a SPM.8). </w:t>
                      </w:r>
                      <w:r w:rsidRPr="00352481">
                        <w:rPr>
                          <w:b/>
                          <w:color w:val="984806" w:themeColor="accent6" w:themeShade="80"/>
                          <w:spacing w:val="2"/>
                          <w:sz w:val="16"/>
                          <w:szCs w:val="16"/>
                        </w:rPr>
                        <w:t xml:space="preserve">{11.3, 12.3, 12.4, </w:t>
                      </w:r>
                      <w:r w:rsidRPr="00352481">
                        <w:rPr>
                          <w:b/>
                          <w:color w:val="984806" w:themeColor="accent6" w:themeShade="80"/>
                          <w:spacing w:val="-6"/>
                          <w:sz w:val="16"/>
                          <w:szCs w:val="16"/>
                        </w:rPr>
                        <w:t>14.8}</w:t>
                      </w:r>
                    </w:p>
                  </w:txbxContent>
                </v:textbox>
              </v:shape>
            </w:pict>
          </mc:Fallback>
        </mc:AlternateContent>
      </w:r>
    </w:p>
    <w:p w:rsidR="00352481" w:rsidRDefault="00352481" w:rsidP="00352481">
      <w:pPr>
        <w:shd w:val="clear" w:color="auto" w:fill="FFFFFF"/>
        <w:tabs>
          <w:tab w:val="left" w:pos="426"/>
        </w:tabs>
        <w:jc w:val="both"/>
        <w:rPr>
          <w:b/>
          <w:color w:val="000000"/>
          <w:sz w:val="28"/>
          <w:szCs w:val="28"/>
        </w:rPr>
      </w:pPr>
    </w:p>
    <w:p w:rsidR="00352481" w:rsidRDefault="00352481" w:rsidP="00352481">
      <w:pPr>
        <w:shd w:val="clear" w:color="auto" w:fill="FFFFFF"/>
        <w:tabs>
          <w:tab w:val="left" w:pos="426"/>
        </w:tabs>
        <w:jc w:val="both"/>
        <w:rPr>
          <w:b/>
          <w:color w:val="000000"/>
          <w:sz w:val="28"/>
          <w:szCs w:val="28"/>
        </w:rPr>
      </w:pPr>
    </w:p>
    <w:p w:rsidR="00352481" w:rsidRPr="00352481" w:rsidRDefault="00352481" w:rsidP="00352481">
      <w:pPr>
        <w:shd w:val="clear" w:color="auto" w:fill="FFFFFF"/>
        <w:tabs>
          <w:tab w:val="left" w:pos="426"/>
        </w:tabs>
        <w:jc w:val="both"/>
        <w:rPr>
          <w:b/>
          <w:color w:val="000000"/>
          <w:sz w:val="28"/>
          <w:szCs w:val="28"/>
        </w:rPr>
      </w:pPr>
    </w:p>
    <w:p w:rsidR="00786EA5" w:rsidRDefault="00786EA5" w:rsidP="000C4BB0">
      <w:pPr>
        <w:shd w:val="clear" w:color="auto" w:fill="FFFFFF"/>
        <w:tabs>
          <w:tab w:val="left" w:pos="3737"/>
        </w:tabs>
        <w:spacing w:before="264" w:line="250" w:lineRule="exact"/>
        <w:rPr>
          <w:b/>
          <w:sz w:val="28"/>
          <w:szCs w:val="28"/>
        </w:rPr>
      </w:pPr>
    </w:p>
    <w:p w:rsidR="00352481" w:rsidRDefault="00352481" w:rsidP="00352481">
      <w:pPr>
        <w:pStyle w:val="Bezmezer"/>
        <w:shd w:val="clear" w:color="auto" w:fill="FFFFFF"/>
        <w:jc w:val="both"/>
      </w:pPr>
    </w:p>
    <w:p w:rsidR="00352481" w:rsidRPr="00352481" w:rsidRDefault="00352481" w:rsidP="00352481">
      <w:pPr>
        <w:pStyle w:val="Bezmezer"/>
        <w:numPr>
          <w:ilvl w:val="0"/>
          <w:numId w:val="6"/>
        </w:numPr>
        <w:shd w:val="clear" w:color="auto" w:fill="FFFFFF"/>
        <w:ind w:left="426" w:hanging="426"/>
        <w:jc w:val="both"/>
      </w:pPr>
      <w:r w:rsidRPr="00352481">
        <w:t xml:space="preserve">Změna průměrné globální teploty vzduchu při povrchu v období let 2016-2035 v porovnání s obdobím let 1986-2005 bude </w:t>
      </w:r>
      <w:r w:rsidRPr="00352481">
        <w:rPr>
          <w:i/>
        </w:rPr>
        <w:t>pravděpodobně</w:t>
      </w:r>
      <w:r w:rsidRPr="00352481">
        <w:t xml:space="preserve"> v rozsahu 0,3°C až 0,7°C (</w:t>
      </w:r>
      <w:r w:rsidRPr="00352481">
        <w:rPr>
          <w:i/>
        </w:rPr>
        <w:t>střední spolehlivost</w:t>
      </w:r>
      <w:r w:rsidRPr="00352481">
        <w:t>). Toto hodnocení vychází z různých zdrojů a předpokládá, že nedojde k žádným velkým sopečným erupcím nebo dlouhodobé změně celkové intenzity slunečního záření. Lze předpokládat, že oproti přirozené vnitřní variabilitě bude zvýšení sezónních a ročních průměrných teplot v blízké budoucnosti větší v tropických a subtropických oblastech než ve středních zeměpisných šířkách (</w:t>
      </w:r>
      <w:r w:rsidRPr="00352481">
        <w:rPr>
          <w:i/>
        </w:rPr>
        <w:t>vysoká spolehlivost</w:t>
      </w:r>
      <w:r w:rsidRPr="00352481">
        <w:t>).</w:t>
      </w:r>
      <w:r w:rsidRPr="00352481">
        <w:rPr>
          <w:i/>
          <w:iCs/>
          <w:color w:val="000000"/>
        </w:rPr>
        <w:t xml:space="preserve"> </w:t>
      </w:r>
      <w:r w:rsidRPr="00352481">
        <w:rPr>
          <w:color w:val="000000"/>
        </w:rPr>
        <w:t>{11.3}</w:t>
      </w:r>
    </w:p>
    <w:p w:rsidR="00352481" w:rsidRPr="00352481" w:rsidRDefault="00352481" w:rsidP="00352481">
      <w:pPr>
        <w:pStyle w:val="Bezmezer"/>
        <w:shd w:val="clear" w:color="auto" w:fill="FFFFFF"/>
        <w:jc w:val="both"/>
      </w:pPr>
    </w:p>
    <w:p w:rsidR="00352481" w:rsidRPr="00352481" w:rsidRDefault="00352481" w:rsidP="00352481">
      <w:pPr>
        <w:pStyle w:val="Bezmezer"/>
        <w:numPr>
          <w:ilvl w:val="0"/>
          <w:numId w:val="6"/>
        </w:numPr>
        <w:shd w:val="clear" w:color="auto" w:fill="FFFFFF"/>
        <w:ind w:left="426" w:hanging="426"/>
        <w:jc w:val="both"/>
      </w:pPr>
      <w:r w:rsidRPr="00352481">
        <w:rPr>
          <w:color w:val="000000"/>
        </w:rPr>
        <w:t xml:space="preserve">Podle modelových simulací CMIP5, řízených koncentracemi, bude zvýšení průměrné globální teploty vzduchu při povrchu v období let 2081-2100 v porovnání s obdobím let 1986-2005 </w:t>
      </w:r>
      <w:r w:rsidRPr="00352481">
        <w:rPr>
          <w:i/>
          <w:color w:val="000000"/>
        </w:rPr>
        <w:t>pravděpodobně</w:t>
      </w:r>
      <w:r w:rsidRPr="00352481">
        <w:rPr>
          <w:color w:val="000000"/>
        </w:rPr>
        <w:t xml:space="preserve"> v rozsahu 0,3°C až 1,7°C</w:t>
      </w:r>
      <w:r w:rsidRPr="00352481">
        <w:rPr>
          <w:color w:val="000000"/>
          <w:spacing w:val="3"/>
        </w:rPr>
        <w:t xml:space="preserve"> (RCP2.6), 1,1°C až 2,6°C (RCP4.5), 1,4°C až 3,1°C </w:t>
      </w:r>
      <w:r w:rsidRPr="00352481">
        <w:rPr>
          <w:color w:val="000000"/>
        </w:rPr>
        <w:t>(RCP6.0), 2,6°C až 4,8°C (RCP8.5). Arktická oblast se bude oteplovat rychleji než je globální průměr a průměrné oteplení nad pevninou bude větší než nad oceánem (</w:t>
      </w:r>
      <w:r w:rsidRPr="00352481">
        <w:rPr>
          <w:i/>
          <w:color w:val="000000"/>
        </w:rPr>
        <w:t>velmi vysoká spolehlivost</w:t>
      </w:r>
      <w:r w:rsidRPr="00352481">
        <w:rPr>
          <w:color w:val="000000"/>
        </w:rPr>
        <w:t>)</w:t>
      </w:r>
      <w:r w:rsidRPr="00352481">
        <w:rPr>
          <w:i/>
          <w:iCs/>
          <w:color w:val="000000"/>
        </w:rPr>
        <w:t xml:space="preserve"> </w:t>
      </w:r>
      <w:r w:rsidRPr="00352481">
        <w:rPr>
          <w:color w:val="000000"/>
        </w:rPr>
        <w:t>(viz obr. SPM.7 a SPM.8 a tab. SPM.2). {12.4, 14.8}</w:t>
      </w:r>
    </w:p>
    <w:p w:rsidR="00352481" w:rsidRPr="00352481" w:rsidRDefault="00352481" w:rsidP="00352481">
      <w:pPr>
        <w:pStyle w:val="Bezmezer"/>
        <w:shd w:val="clear" w:color="auto" w:fill="FFFFFF"/>
        <w:jc w:val="both"/>
      </w:pPr>
    </w:p>
    <w:p w:rsidR="00352481" w:rsidRPr="00352481" w:rsidRDefault="00352481" w:rsidP="00352481">
      <w:pPr>
        <w:pStyle w:val="Bezmezer"/>
        <w:numPr>
          <w:ilvl w:val="0"/>
          <w:numId w:val="6"/>
        </w:numPr>
        <w:shd w:val="clear" w:color="auto" w:fill="FFFFFF"/>
        <w:ind w:left="426" w:hanging="426"/>
        <w:jc w:val="both"/>
      </w:pPr>
      <w:r w:rsidRPr="00352481">
        <w:rPr>
          <w:color w:val="000000"/>
        </w:rPr>
        <w:t xml:space="preserve">Změna průměrné globální teploty vzduchu při povrchu </w:t>
      </w:r>
      <w:r w:rsidRPr="00352481">
        <w:t>v porovnání s průměrem za období let 1850 až 1900 p</w:t>
      </w:r>
      <w:r w:rsidRPr="00352481">
        <w:rPr>
          <w:color w:val="000000"/>
        </w:rPr>
        <w:t xml:space="preserve">odle projekcí </w:t>
      </w:r>
      <w:r w:rsidRPr="00352481">
        <w:rPr>
          <w:i/>
          <w:color w:val="000000"/>
        </w:rPr>
        <w:t>pravděpodobně</w:t>
      </w:r>
      <w:r w:rsidRPr="00352481">
        <w:rPr>
          <w:color w:val="000000"/>
        </w:rPr>
        <w:t xml:space="preserve"> překročí do konce 21. století</w:t>
      </w:r>
      <w:r w:rsidRPr="00352481">
        <w:t xml:space="preserve"> 1,5°C podle scénářů</w:t>
      </w:r>
      <w:r w:rsidRPr="00352481">
        <w:rPr>
          <w:color w:val="000000"/>
        </w:rPr>
        <w:t xml:space="preserve"> RCP4.5, RCP6.0 a RCP8.5 (</w:t>
      </w:r>
      <w:r w:rsidRPr="00352481">
        <w:rPr>
          <w:i/>
          <w:color w:val="000000"/>
        </w:rPr>
        <w:t>vysoká spolehlivost</w:t>
      </w:r>
      <w:r w:rsidRPr="00352481">
        <w:rPr>
          <w:color w:val="000000"/>
        </w:rPr>
        <w:t xml:space="preserve">). Oteplení </w:t>
      </w:r>
      <w:r w:rsidRPr="00352481">
        <w:rPr>
          <w:i/>
          <w:color w:val="000000"/>
        </w:rPr>
        <w:t>pravděpodobně</w:t>
      </w:r>
      <w:r w:rsidRPr="00352481">
        <w:rPr>
          <w:color w:val="000000"/>
        </w:rPr>
        <w:t xml:space="preserve"> překročí 2°C </w:t>
      </w:r>
      <w:r w:rsidRPr="00352481">
        <w:t>podle scénářů</w:t>
      </w:r>
      <w:r w:rsidRPr="00352481">
        <w:rPr>
          <w:color w:val="000000"/>
          <w:spacing w:val="-1"/>
        </w:rPr>
        <w:t xml:space="preserve"> RCP6.0 a RCP8.5 </w:t>
      </w:r>
      <w:r w:rsidRPr="00352481">
        <w:rPr>
          <w:i/>
          <w:iCs/>
          <w:color w:val="000000"/>
          <w:spacing w:val="-1"/>
        </w:rPr>
        <w:t xml:space="preserve">(vysoká spolehlivost) a </w:t>
      </w:r>
      <w:r w:rsidRPr="00352481">
        <w:t>podle scénáře</w:t>
      </w:r>
      <w:r w:rsidRPr="00352481">
        <w:rPr>
          <w:i/>
          <w:iCs/>
          <w:color w:val="000000"/>
          <w:spacing w:val="-1"/>
        </w:rPr>
        <w:t xml:space="preserve"> </w:t>
      </w:r>
      <w:r w:rsidRPr="00352481">
        <w:rPr>
          <w:color w:val="000000"/>
          <w:spacing w:val="1"/>
        </w:rPr>
        <w:t xml:space="preserve">RCP4.5 je </w:t>
      </w:r>
      <w:r w:rsidRPr="00352481">
        <w:rPr>
          <w:i/>
          <w:color w:val="000000"/>
          <w:spacing w:val="1"/>
        </w:rPr>
        <w:t>pravděpodobnější</w:t>
      </w:r>
      <w:r w:rsidRPr="00352481">
        <w:rPr>
          <w:color w:val="000000"/>
          <w:spacing w:val="1"/>
        </w:rPr>
        <w:t xml:space="preserve">, že překročí 2°C, než že se tomu tak nestane </w:t>
      </w:r>
      <w:r w:rsidRPr="00352481">
        <w:rPr>
          <w:i/>
          <w:iCs/>
          <w:color w:val="000000"/>
          <w:spacing w:val="1"/>
        </w:rPr>
        <w:t xml:space="preserve">(vysoká spolehlivost), </w:t>
      </w:r>
      <w:r w:rsidRPr="00352481">
        <w:rPr>
          <w:color w:val="000000"/>
          <w:spacing w:val="1"/>
        </w:rPr>
        <w:t xml:space="preserve">ale </w:t>
      </w:r>
      <w:r w:rsidRPr="00352481">
        <w:t>podle scénáře</w:t>
      </w:r>
      <w:r w:rsidRPr="00352481">
        <w:rPr>
          <w:i/>
          <w:iCs/>
          <w:color w:val="000000"/>
          <w:spacing w:val="-1"/>
        </w:rPr>
        <w:t xml:space="preserve"> </w:t>
      </w:r>
      <w:r w:rsidRPr="00352481">
        <w:rPr>
          <w:color w:val="000000"/>
          <w:spacing w:val="1"/>
        </w:rPr>
        <w:t>RCP2.6 je</w:t>
      </w:r>
      <w:r w:rsidRPr="00352481">
        <w:rPr>
          <w:i/>
          <w:color w:val="000000"/>
          <w:spacing w:val="1"/>
        </w:rPr>
        <w:t xml:space="preserve"> nepravděpodobné</w:t>
      </w:r>
      <w:r w:rsidRPr="00352481">
        <w:rPr>
          <w:color w:val="000000"/>
          <w:spacing w:val="1"/>
        </w:rPr>
        <w:t>, že</w:t>
      </w:r>
      <w:r w:rsidRPr="00352481">
        <w:rPr>
          <w:i/>
          <w:iCs/>
          <w:color w:val="000000"/>
          <w:spacing w:val="1"/>
        </w:rPr>
        <w:t xml:space="preserve"> překročí</w:t>
      </w:r>
      <w:r w:rsidRPr="00352481">
        <w:rPr>
          <w:color w:val="000000"/>
          <w:spacing w:val="1"/>
        </w:rPr>
        <w:t xml:space="preserve"> 2°C</w:t>
      </w:r>
      <w:r w:rsidRPr="00352481">
        <w:rPr>
          <w:color w:val="000000"/>
          <w:spacing w:val="-1"/>
        </w:rPr>
        <w:t xml:space="preserve"> </w:t>
      </w:r>
      <w:r w:rsidRPr="00352481">
        <w:rPr>
          <w:i/>
          <w:iCs/>
          <w:color w:val="000000"/>
          <w:spacing w:val="-1"/>
        </w:rPr>
        <w:t xml:space="preserve">(střední spolehlivost). </w:t>
      </w:r>
      <w:r w:rsidRPr="00352481">
        <w:rPr>
          <w:color w:val="000000"/>
          <w:spacing w:val="-1"/>
        </w:rPr>
        <w:t xml:space="preserve">Podle scénářů RCP2.6, RCP4.5 a </w:t>
      </w:r>
      <w:r w:rsidRPr="00352481">
        <w:rPr>
          <w:color w:val="000000"/>
        </w:rPr>
        <w:t>RCP6.0 je</w:t>
      </w:r>
      <w:r w:rsidRPr="00352481">
        <w:rPr>
          <w:i/>
          <w:color w:val="000000"/>
        </w:rPr>
        <w:t xml:space="preserve"> nepravděpodobné</w:t>
      </w:r>
      <w:r w:rsidRPr="00352481">
        <w:rPr>
          <w:color w:val="000000"/>
        </w:rPr>
        <w:t xml:space="preserve">, že oteplení překročí </w:t>
      </w:r>
      <w:r w:rsidRPr="00352481">
        <w:rPr>
          <w:color w:val="000000"/>
          <w:spacing w:val="-1"/>
        </w:rPr>
        <w:t xml:space="preserve"> 4°C</w:t>
      </w:r>
      <w:r w:rsidRPr="00352481">
        <w:rPr>
          <w:color w:val="000000"/>
        </w:rPr>
        <w:t xml:space="preserve"> </w:t>
      </w:r>
      <w:r w:rsidRPr="00352481">
        <w:rPr>
          <w:i/>
          <w:iCs/>
          <w:color w:val="000000"/>
        </w:rPr>
        <w:t xml:space="preserve">(vysoká spolehlivost) </w:t>
      </w:r>
      <w:r w:rsidRPr="00352481">
        <w:rPr>
          <w:color w:val="000000"/>
        </w:rPr>
        <w:t xml:space="preserve">a podle scénáře RCP8.5 je </w:t>
      </w:r>
      <w:r w:rsidRPr="00352481">
        <w:rPr>
          <w:i/>
          <w:color w:val="000000"/>
        </w:rPr>
        <w:t xml:space="preserve">stejně pravděpodobné </w:t>
      </w:r>
      <w:r w:rsidRPr="00352481">
        <w:rPr>
          <w:color w:val="000000"/>
        </w:rPr>
        <w:t xml:space="preserve">že překročí 4°C </w:t>
      </w:r>
      <w:r w:rsidRPr="00352481">
        <w:rPr>
          <w:i/>
          <w:color w:val="000000"/>
        </w:rPr>
        <w:t xml:space="preserve">jako že se tak nestane </w:t>
      </w:r>
      <w:r w:rsidRPr="00352481">
        <w:rPr>
          <w:i/>
          <w:iCs/>
          <w:color w:val="000000"/>
        </w:rPr>
        <w:t>(střední spolehlivost</w:t>
      </w:r>
      <w:r w:rsidRPr="00352481">
        <w:rPr>
          <w:i/>
          <w:iCs/>
          <w:color w:val="000000"/>
          <w:spacing w:val="-1"/>
        </w:rPr>
        <w:t xml:space="preserve">). </w:t>
      </w:r>
      <w:r w:rsidRPr="00352481">
        <w:rPr>
          <w:color w:val="000000"/>
          <w:spacing w:val="-1"/>
        </w:rPr>
        <w:t>{12.4}</w:t>
      </w:r>
    </w:p>
    <w:p w:rsidR="00352481" w:rsidRPr="00352481" w:rsidRDefault="00352481" w:rsidP="00352481">
      <w:pPr>
        <w:pStyle w:val="Bezmezer"/>
        <w:shd w:val="clear" w:color="auto" w:fill="FFFFFF"/>
        <w:jc w:val="both"/>
      </w:pPr>
    </w:p>
    <w:p w:rsidR="00352481" w:rsidRPr="00352481" w:rsidRDefault="00352481" w:rsidP="00352481">
      <w:pPr>
        <w:pStyle w:val="Bezmezer"/>
        <w:numPr>
          <w:ilvl w:val="0"/>
          <w:numId w:val="6"/>
        </w:numPr>
        <w:shd w:val="clear" w:color="auto" w:fill="FFFFFF"/>
        <w:ind w:left="426" w:hanging="426"/>
        <w:jc w:val="both"/>
      </w:pPr>
      <w:r w:rsidRPr="00352481">
        <w:rPr>
          <w:color w:val="000000"/>
          <w:spacing w:val="-1"/>
        </w:rPr>
        <w:t xml:space="preserve">Je </w:t>
      </w:r>
      <w:r w:rsidRPr="00352481">
        <w:rPr>
          <w:i/>
          <w:color w:val="000000"/>
          <w:spacing w:val="-1"/>
        </w:rPr>
        <w:t>prakticky jisté</w:t>
      </w:r>
      <w:r w:rsidRPr="00352481">
        <w:rPr>
          <w:color w:val="000000"/>
          <w:spacing w:val="-1"/>
        </w:rPr>
        <w:t xml:space="preserve">, že s tím, jak porostou globální průměrné teploty, budou v denním a sezónním měřítku extrémní vysoké teploty častější a extrémní nízké teploty méně časté nad většinou pevninských oblastí. Je </w:t>
      </w:r>
      <w:r w:rsidRPr="00352481">
        <w:rPr>
          <w:i/>
          <w:color w:val="000000"/>
          <w:spacing w:val="-1"/>
        </w:rPr>
        <w:t>velmi pravděpodobné</w:t>
      </w:r>
      <w:r w:rsidRPr="00352481">
        <w:rPr>
          <w:color w:val="000000"/>
          <w:spacing w:val="-1"/>
        </w:rPr>
        <w:t>, že horké vlny budou přicházet s vyšší četností a budou trvat déle. I nadále se budou objevovat občasné extrémně chladné zimy</w:t>
      </w:r>
      <w:r w:rsidRPr="00352481">
        <w:rPr>
          <w:color w:val="000000"/>
        </w:rPr>
        <w:t xml:space="preserve"> (viz tab. SPM.1). {12.4}</w:t>
      </w:r>
    </w:p>
    <w:p w:rsidR="00352481" w:rsidRDefault="00352481" w:rsidP="00352481">
      <w:pPr>
        <w:pStyle w:val="Odstavecseseznamem"/>
      </w:pPr>
    </w:p>
    <w:p w:rsidR="00352481" w:rsidRDefault="00352481" w:rsidP="00352481">
      <w:pPr>
        <w:pStyle w:val="Bezmezer"/>
        <w:shd w:val="clear" w:color="auto" w:fill="FFFFFF"/>
        <w:jc w:val="both"/>
      </w:pPr>
    </w:p>
    <w:p w:rsidR="00352481" w:rsidRDefault="00352481" w:rsidP="00352481">
      <w:pPr>
        <w:pStyle w:val="Bezmezer"/>
        <w:shd w:val="clear" w:color="auto" w:fill="FFFFFF"/>
        <w:jc w:val="both"/>
        <w:rPr>
          <w:b/>
          <w:sz w:val="28"/>
          <w:szCs w:val="28"/>
        </w:rPr>
      </w:pPr>
      <w:r w:rsidRPr="00352481">
        <w:rPr>
          <w:b/>
          <w:sz w:val="28"/>
          <w:szCs w:val="28"/>
        </w:rPr>
        <w:t xml:space="preserve">E.2 Atmosféra: </w:t>
      </w:r>
      <w:r>
        <w:rPr>
          <w:b/>
          <w:sz w:val="28"/>
          <w:szCs w:val="28"/>
        </w:rPr>
        <w:t>koloběh vody</w:t>
      </w:r>
    </w:p>
    <w:p w:rsidR="00352481" w:rsidRDefault="00C3040A" w:rsidP="00352481">
      <w:pPr>
        <w:pStyle w:val="Bezmezer"/>
        <w:shd w:val="clear" w:color="auto" w:fill="FFFFFF"/>
        <w:jc w:val="both"/>
        <w:rPr>
          <w:b/>
          <w:sz w:val="28"/>
          <w:szCs w:val="28"/>
        </w:rPr>
      </w:pPr>
      <w:r>
        <w:rPr>
          <w:b/>
          <w:noProof/>
          <w:sz w:val="28"/>
          <w:szCs w:val="28"/>
        </w:rPr>
        <mc:AlternateContent>
          <mc:Choice Requires="wps">
            <w:drawing>
              <wp:anchor distT="0" distB="0" distL="114300" distR="114300" simplePos="0" relativeHeight="251682816" behindDoc="0" locked="0" layoutInCell="1" allowOverlap="1">
                <wp:simplePos x="0" y="0"/>
                <wp:positionH relativeFrom="column">
                  <wp:posOffset>1270</wp:posOffset>
                </wp:positionH>
                <wp:positionV relativeFrom="paragraph">
                  <wp:posOffset>50165</wp:posOffset>
                </wp:positionV>
                <wp:extent cx="6114415" cy="539115"/>
                <wp:effectExtent l="10795" t="12065" r="8890" b="8255"/>
                <wp:wrapNone/>
                <wp:docPr id="17"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4415" cy="539115"/>
                        </a:xfrm>
                        <a:prstGeom prst="rect">
                          <a:avLst/>
                        </a:prstGeom>
                        <a:solidFill>
                          <a:schemeClr val="accent6">
                            <a:lumMod val="40000"/>
                            <a:lumOff val="60000"/>
                          </a:schemeClr>
                        </a:solidFill>
                        <a:ln w="9525">
                          <a:solidFill>
                            <a:schemeClr val="accent6">
                              <a:lumMod val="40000"/>
                              <a:lumOff val="60000"/>
                            </a:schemeClr>
                          </a:solidFill>
                          <a:miter lim="800000"/>
                          <a:headEnd/>
                          <a:tailEnd/>
                        </a:ln>
                      </wps:spPr>
                      <wps:txbx>
                        <w:txbxContent>
                          <w:p w:rsidR="00C907E7" w:rsidRPr="00352481" w:rsidRDefault="00C907E7" w:rsidP="00352481">
                            <w:pPr>
                              <w:rPr>
                                <w:b/>
                                <w:color w:val="984806" w:themeColor="accent6" w:themeShade="80"/>
                                <w:sz w:val="16"/>
                                <w:szCs w:val="16"/>
                              </w:rPr>
                            </w:pPr>
                            <w:r w:rsidRPr="00352481">
                              <w:rPr>
                                <w:b/>
                                <w:color w:val="984806" w:themeColor="accent6" w:themeShade="80"/>
                              </w:rPr>
                              <w:t xml:space="preserve">Změny v globálním koloběhu vody v reakci na oteplování v 21. století nebudou stejné. Rozdíl ve srážkových úhrnech mezi vlhkými a suchými oblastmi a mezi vlhkými a suchými obdobími se bude zvyšovat, ale mohou se objevovat regionální výjimky </w:t>
                            </w:r>
                            <w:r w:rsidRPr="00352481">
                              <w:rPr>
                                <w:b/>
                                <w:color w:val="984806" w:themeColor="accent6" w:themeShade="80"/>
                                <w:spacing w:val="2"/>
                              </w:rPr>
                              <w:t>(viz obr.</w:t>
                            </w:r>
                            <w:r w:rsidRPr="00352481">
                              <w:rPr>
                                <w:b/>
                                <w:color w:val="984806" w:themeColor="accent6" w:themeShade="80"/>
                                <w:spacing w:val="-1"/>
                              </w:rPr>
                              <w:t xml:space="preserve"> SPM.8). </w:t>
                            </w:r>
                            <w:r w:rsidRPr="00352481">
                              <w:rPr>
                                <w:b/>
                                <w:color w:val="984806" w:themeColor="accent6" w:themeShade="80"/>
                                <w:spacing w:val="-1"/>
                                <w:sz w:val="16"/>
                                <w:szCs w:val="16"/>
                              </w:rPr>
                              <w:t>{12.4, 14.3}</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3" o:spid="_x0000_s1039" type="#_x0000_t202" style="position:absolute;left:0;text-align:left;margin-left:.1pt;margin-top:3.95pt;width:481.45pt;height:42.45pt;z-index:2516828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" fillcolor="#fbd4b4 [1305]" strokecolor="#fbd4b4 [1305]">
                <v:textbox style="mso-fit-shape-to-text:t">
                  <w:txbxContent>
                    <w:p w:rsidR="00C907E7" w:rsidRPr="00352481" w:rsidRDefault="00C907E7" w:rsidP="00352481">
                      <w:pPr>
                        <w:rPr>
                          <w:b/>
                          <w:color w:val="984806" w:themeColor="accent6" w:themeShade="80"/>
                          <w:sz w:val="16"/>
                          <w:szCs w:val="16"/>
                        </w:rPr>
                      </w:pPr>
                      <w:r w:rsidRPr="00352481">
                        <w:rPr>
                          <w:b/>
                          <w:color w:val="984806" w:themeColor="accent6" w:themeShade="80"/>
                        </w:rPr>
                        <w:t xml:space="preserve">Změny v globálním koloběhu vody v reakci na oteplování v 21. století nebudou stejné. Rozdíl ve srážkových úhrnech mezi vlhkými a suchými oblastmi a mezi vlhkými a suchými obdobími se bude zvyšovat, ale mohou se objevovat regionální výjimky </w:t>
                      </w:r>
                      <w:r w:rsidRPr="00352481">
                        <w:rPr>
                          <w:b/>
                          <w:color w:val="984806" w:themeColor="accent6" w:themeShade="80"/>
                          <w:spacing w:val="2"/>
                        </w:rPr>
                        <w:t>(viz obr.</w:t>
                      </w:r>
                      <w:r w:rsidRPr="00352481">
                        <w:rPr>
                          <w:b/>
                          <w:color w:val="984806" w:themeColor="accent6" w:themeShade="80"/>
                          <w:spacing w:val="-1"/>
                        </w:rPr>
                        <w:t xml:space="preserve"> SPM.8). </w:t>
                      </w:r>
                      <w:r w:rsidRPr="00352481">
                        <w:rPr>
                          <w:b/>
                          <w:color w:val="984806" w:themeColor="accent6" w:themeShade="80"/>
                          <w:spacing w:val="-1"/>
                          <w:sz w:val="16"/>
                          <w:szCs w:val="16"/>
                        </w:rPr>
                        <w:t>{12.4, 14.3}</w:t>
                      </w:r>
                    </w:p>
                  </w:txbxContent>
                </v:textbox>
              </v:shape>
            </w:pict>
          </mc:Fallback>
        </mc:AlternateContent>
      </w:r>
    </w:p>
    <w:p w:rsidR="00352481" w:rsidRPr="00352481" w:rsidRDefault="00352481" w:rsidP="00352481">
      <w:pPr>
        <w:pStyle w:val="Bezmezer"/>
        <w:shd w:val="clear" w:color="auto" w:fill="FFFFFF"/>
        <w:jc w:val="both"/>
        <w:rPr>
          <w:b/>
          <w:sz w:val="28"/>
          <w:szCs w:val="28"/>
        </w:rPr>
      </w:pPr>
    </w:p>
    <w:p w:rsidR="00352481" w:rsidRDefault="00352481" w:rsidP="00352481">
      <w:pPr>
        <w:pStyle w:val="Bezmezer"/>
        <w:numPr>
          <w:ilvl w:val="0"/>
          <w:numId w:val="6"/>
        </w:numPr>
        <w:shd w:val="clear" w:color="auto" w:fill="FFFFFF"/>
        <w:spacing w:before="374" w:line="250" w:lineRule="exact"/>
        <w:ind w:left="446" w:right="82"/>
        <w:jc w:val="both"/>
        <w:rPr>
          <w:color w:val="000000"/>
          <w:spacing w:val="-1"/>
        </w:rPr>
      </w:pPr>
      <w:r w:rsidRPr="00352481">
        <w:rPr>
          <w:color w:val="000000"/>
          <w:spacing w:val="-1"/>
        </w:rPr>
        <w:t>Projektované změny koloběhu vody v následujících několika desetiletích vykazují ve velkém měřítku podobné rozložení jako změny ke konci století, ovšem menší velikosti. Změny v blízké budoucnosti a v regionálním měřítku budou silně ovlivněny přirozenou interní variabilitou a mohou být ovlivněny antropogenními emisemi aerosolů. {11.3}</w:t>
      </w:r>
    </w:p>
    <w:p w:rsidR="00352481" w:rsidRDefault="00352481" w:rsidP="00352481">
      <w:pPr>
        <w:shd w:val="clear" w:color="auto" w:fill="FFFFFF"/>
        <w:spacing w:line="230" w:lineRule="exact"/>
        <w:ind w:left="360" w:right="14"/>
        <w:jc w:val="both"/>
        <w:rPr>
          <w:rFonts w:ascii="Calibri" w:hAnsi="Calibri"/>
          <w:b/>
          <w:bCs/>
          <w:color w:val="000000"/>
          <w:spacing w:val="-9"/>
          <w:sz w:val="22"/>
          <w:szCs w:val="22"/>
        </w:rPr>
      </w:pPr>
      <w:r>
        <w:rPr>
          <w:rFonts w:ascii="Calibri" w:hAnsi="Calibri"/>
          <w:b/>
          <w:bCs/>
          <w:noProof/>
          <w:color w:val="000000"/>
          <w:spacing w:val="-9"/>
          <w:sz w:val="22"/>
          <w:szCs w:val="22"/>
        </w:rPr>
        <w:lastRenderedPageBreak/>
        <w:drawing>
          <wp:anchor distT="0" distB="0" distL="114300" distR="114300" simplePos="0" relativeHeight="251683840" behindDoc="0" locked="0" layoutInCell="1" allowOverlap="1">
            <wp:simplePos x="0" y="0"/>
            <wp:positionH relativeFrom="column">
              <wp:posOffset>895350</wp:posOffset>
            </wp:positionH>
            <wp:positionV relativeFrom="paragraph">
              <wp:posOffset>-31750</wp:posOffset>
            </wp:positionV>
            <wp:extent cx="4431030" cy="6370955"/>
            <wp:effectExtent l="19050" t="0" r="7620" b="0"/>
            <wp:wrapTopAndBottom/>
            <wp:docPr id="12" name="Obrázek 10" descr="SPM Fig7_final-C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M Fig7_final-CZ.jpg"/>
                    <pic:cNvPicPr/>
                  </pic:nvPicPr>
                  <pic:blipFill>
                    <a:blip r:embed="rId19" cstate="print"/>
                    <a:stretch>
                      <a:fillRect/>
                    </a:stretch>
                  </pic:blipFill>
                  <pic:spPr>
                    <a:xfrm>
                      <a:off x="0" y="0"/>
                      <a:ext cx="4431030" cy="6370955"/>
                    </a:xfrm>
                    <a:prstGeom prst="rect">
                      <a:avLst/>
                    </a:prstGeom>
                  </pic:spPr>
                </pic:pic>
              </a:graphicData>
            </a:graphic>
          </wp:anchor>
        </w:drawing>
      </w:r>
    </w:p>
    <w:p w:rsidR="00352481" w:rsidRPr="00352481" w:rsidRDefault="00743C8E" w:rsidP="00352481">
      <w:pPr>
        <w:shd w:val="clear" w:color="auto" w:fill="FFFFFF"/>
        <w:spacing w:line="230" w:lineRule="exact"/>
        <w:ind w:left="360" w:right="14"/>
        <w:jc w:val="both"/>
        <w:rPr>
          <w:sz w:val="16"/>
          <w:szCs w:val="16"/>
        </w:rPr>
      </w:pPr>
      <w:r>
        <w:rPr>
          <w:b/>
          <w:bCs/>
          <w:color w:val="000000"/>
          <w:spacing w:val="-9"/>
          <w:sz w:val="16"/>
          <w:szCs w:val="16"/>
        </w:rPr>
        <w:t>Obr.</w:t>
      </w:r>
      <w:r w:rsidR="00352481" w:rsidRPr="00352481">
        <w:rPr>
          <w:b/>
          <w:bCs/>
          <w:color w:val="000000"/>
          <w:spacing w:val="-9"/>
          <w:sz w:val="16"/>
          <w:szCs w:val="16"/>
        </w:rPr>
        <w:t xml:space="preserve"> SPM.7: </w:t>
      </w:r>
      <w:r w:rsidR="00352481" w:rsidRPr="00352481">
        <w:rPr>
          <w:bCs/>
          <w:color w:val="000000"/>
          <w:spacing w:val="-9"/>
          <w:sz w:val="16"/>
          <w:szCs w:val="16"/>
        </w:rPr>
        <w:t>Multimodelové</w:t>
      </w:r>
      <w:r w:rsidR="00352481" w:rsidRPr="00352481">
        <w:rPr>
          <w:b/>
          <w:bCs/>
          <w:color w:val="000000"/>
          <w:spacing w:val="-9"/>
          <w:sz w:val="16"/>
          <w:szCs w:val="16"/>
        </w:rPr>
        <w:t xml:space="preserve"> s</w:t>
      </w:r>
      <w:r w:rsidR="00352481" w:rsidRPr="00352481">
        <w:rPr>
          <w:bCs/>
          <w:color w:val="000000"/>
          <w:spacing w:val="-9"/>
          <w:sz w:val="16"/>
          <w:szCs w:val="16"/>
        </w:rPr>
        <w:t>im</w:t>
      </w:r>
      <w:r w:rsidR="00352481" w:rsidRPr="00352481">
        <w:rPr>
          <w:color w:val="000000"/>
          <w:spacing w:val="-9"/>
          <w:sz w:val="16"/>
          <w:szCs w:val="16"/>
        </w:rPr>
        <w:t>ulované časové řady CMIP5 od roku 1950 do roku 2100 pro (a) změnu roční průměrné globální teploty vzduchu při povrchu vzhledem k průměru za období let 1986-2005 (viz tab. SPM.2, kde jsou uvedena další referenční období), (b) rozsah mořského ledu v září na severní polokouli (5letý klouzavý průměr) a (c) globální průměrné hodnoty pH povrchové vody oceánu. Časové řady projekcí a míra nejistoty (stínování) jsou vyznačeny pro scénáře RCP2.6 (modře) a RCP8.5 (červeně). Černě (šedé stínování) je modelovaný historický vývoj s použitím rekonstruovaných historických hodnot RF. U všech scénářů RCP jsou jako barevné vertikální pruhy uvedeny průměry a související nejistoty zprůměrované na období let 2081-2100. Počty modelů CMIP5, použitých na výpočet multimodelového průměru, jsou vyznačeny. U rozsahu mořského ledu (b) je uveden projektovaný průměr a nejistota (minimální až maximální rozsah) podmnožiny modelů, které nejblíže reprodukují klimatologický průměrný stav a trend arktického mořského ledu v období 1979-2012 (počty modelů jsou uvedeny v závorkách). Pro úplnost je tečkovaně vyznačen také multimodelový průměr CMIP5. Čárkovaná čára znázorňuje stav téměř bez ledu (tj. když je rozsah mořského ledu menší než 10</w:t>
      </w:r>
      <w:r w:rsidR="00352481" w:rsidRPr="00352481">
        <w:rPr>
          <w:color w:val="000000"/>
          <w:spacing w:val="-9"/>
          <w:sz w:val="16"/>
          <w:szCs w:val="16"/>
          <w:vertAlign w:val="superscript"/>
        </w:rPr>
        <w:t>6</w:t>
      </w:r>
      <w:r w:rsidR="00352481" w:rsidRPr="00352481">
        <w:rPr>
          <w:color w:val="000000"/>
          <w:spacing w:val="-9"/>
          <w:sz w:val="16"/>
          <w:szCs w:val="16"/>
        </w:rPr>
        <w:t xml:space="preserve"> km</w:t>
      </w:r>
      <w:r w:rsidR="00352481" w:rsidRPr="00352481">
        <w:rPr>
          <w:color w:val="000000"/>
          <w:spacing w:val="-9"/>
          <w:sz w:val="16"/>
          <w:szCs w:val="16"/>
          <w:vertAlign w:val="superscript"/>
        </w:rPr>
        <w:t>2</w:t>
      </w:r>
      <w:r w:rsidR="00352481" w:rsidRPr="00352481">
        <w:rPr>
          <w:color w:val="000000"/>
          <w:spacing w:val="-9"/>
          <w:sz w:val="16"/>
          <w:szCs w:val="16"/>
        </w:rPr>
        <w:t xml:space="preserve"> po dobu alespoň pěti po sobě jdoucích let). Další odborné informace jsou uvedeny v Dodatku  k Technical Summary </w:t>
      </w:r>
      <w:r w:rsidR="00352481" w:rsidRPr="00352481">
        <w:rPr>
          <w:color w:val="000000"/>
          <w:spacing w:val="-8"/>
          <w:sz w:val="16"/>
          <w:szCs w:val="16"/>
        </w:rPr>
        <w:t xml:space="preserve">{obr. 6.28, 12.5 a 12.28-12.31; obr. TS.15, TS.17 </w:t>
      </w:r>
      <w:r w:rsidR="00352481" w:rsidRPr="00352481">
        <w:rPr>
          <w:color w:val="000000"/>
          <w:spacing w:val="-11"/>
          <w:sz w:val="16"/>
          <w:szCs w:val="16"/>
        </w:rPr>
        <w:t>a TS.20}</w:t>
      </w:r>
    </w:p>
    <w:p w:rsidR="00352481" w:rsidRDefault="00352481" w:rsidP="00352481">
      <w:pPr>
        <w:pStyle w:val="Odstavecseseznamem"/>
        <w:shd w:val="clear" w:color="auto" w:fill="FFFFFF"/>
        <w:tabs>
          <w:tab w:val="left" w:leader="underscore" w:pos="6658"/>
        </w:tabs>
        <w:rPr>
          <w:rFonts w:ascii="Calibri" w:hAnsi="Calibri"/>
          <w:sz w:val="22"/>
          <w:szCs w:val="22"/>
        </w:rPr>
      </w:pPr>
    </w:p>
    <w:p w:rsidR="00352481" w:rsidRDefault="00352481" w:rsidP="00352481">
      <w:pPr>
        <w:pStyle w:val="Odstavecseseznamem"/>
        <w:shd w:val="clear" w:color="auto" w:fill="FFFFFF"/>
        <w:tabs>
          <w:tab w:val="left" w:leader="underscore" w:pos="6658"/>
        </w:tabs>
        <w:rPr>
          <w:rFonts w:ascii="Calibri" w:hAnsi="Calibri"/>
          <w:sz w:val="22"/>
          <w:szCs w:val="22"/>
        </w:rPr>
      </w:pPr>
    </w:p>
    <w:p w:rsidR="00352481" w:rsidRDefault="00352481" w:rsidP="00352481">
      <w:pPr>
        <w:pStyle w:val="Odstavecseseznamem"/>
        <w:shd w:val="clear" w:color="auto" w:fill="FFFFFF"/>
        <w:tabs>
          <w:tab w:val="left" w:leader="underscore" w:pos="6658"/>
        </w:tabs>
        <w:rPr>
          <w:rFonts w:ascii="Calibri" w:hAnsi="Calibri"/>
          <w:sz w:val="22"/>
          <w:szCs w:val="22"/>
        </w:rPr>
      </w:pPr>
    </w:p>
    <w:p w:rsidR="00352481" w:rsidRDefault="00352481" w:rsidP="00352481">
      <w:pPr>
        <w:pStyle w:val="Odstavecseseznamem"/>
        <w:shd w:val="clear" w:color="auto" w:fill="FFFFFF"/>
        <w:tabs>
          <w:tab w:val="left" w:leader="underscore" w:pos="6658"/>
        </w:tabs>
        <w:rPr>
          <w:rFonts w:ascii="Calibri" w:hAnsi="Calibri"/>
          <w:sz w:val="22"/>
          <w:szCs w:val="22"/>
        </w:rPr>
      </w:pPr>
    </w:p>
    <w:p w:rsidR="00352481" w:rsidRDefault="00784095" w:rsidP="00352481">
      <w:pPr>
        <w:pStyle w:val="Odstavecseseznamem"/>
        <w:shd w:val="clear" w:color="auto" w:fill="FFFFFF"/>
        <w:tabs>
          <w:tab w:val="left" w:leader="underscore" w:pos="6658"/>
        </w:tabs>
        <w:rPr>
          <w:rFonts w:ascii="Calibri" w:hAnsi="Calibri"/>
          <w:sz w:val="22"/>
          <w:szCs w:val="22"/>
        </w:rPr>
      </w:pPr>
      <w:r>
        <w:rPr>
          <w:rFonts w:ascii="Calibri" w:hAnsi="Calibri"/>
          <w:noProof/>
          <w:sz w:val="22"/>
          <w:szCs w:val="22"/>
        </w:rPr>
        <w:lastRenderedPageBreak/>
        <w:drawing>
          <wp:inline distT="0" distB="0" distL="0" distR="0">
            <wp:extent cx="5056632" cy="7156704"/>
            <wp:effectExtent l="19050" t="0" r="0" b="0"/>
            <wp:docPr id="13" name="Obrázek 12" descr="SPM Fig8_final-C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M Fig8_final-CZ.jpg"/>
                    <pic:cNvPicPr/>
                  </pic:nvPicPr>
                  <pic:blipFill>
                    <a:blip r:embed="rId20" cstate="print"/>
                    <a:stretch>
                      <a:fillRect/>
                    </a:stretch>
                  </pic:blipFill>
                  <pic:spPr>
                    <a:xfrm>
                      <a:off x="0" y="0"/>
                      <a:ext cx="5056632" cy="7156704"/>
                    </a:xfrm>
                    <a:prstGeom prst="rect">
                      <a:avLst/>
                    </a:prstGeom>
                  </pic:spPr>
                </pic:pic>
              </a:graphicData>
            </a:graphic>
          </wp:inline>
        </w:drawing>
      </w:r>
    </w:p>
    <w:p w:rsidR="00784095" w:rsidRDefault="00784095" w:rsidP="00352481">
      <w:pPr>
        <w:pStyle w:val="Odstavecseseznamem"/>
        <w:shd w:val="clear" w:color="auto" w:fill="FFFFFF"/>
        <w:tabs>
          <w:tab w:val="left" w:leader="underscore" w:pos="6658"/>
        </w:tabs>
        <w:rPr>
          <w:rFonts w:ascii="Calibri" w:hAnsi="Calibri"/>
          <w:sz w:val="22"/>
          <w:szCs w:val="22"/>
        </w:rPr>
      </w:pPr>
    </w:p>
    <w:p w:rsidR="00784095" w:rsidRDefault="00743C8E" w:rsidP="00784095">
      <w:pPr>
        <w:shd w:val="clear" w:color="auto" w:fill="FFFFFF"/>
        <w:ind w:right="79"/>
        <w:jc w:val="both"/>
        <w:rPr>
          <w:color w:val="000000"/>
          <w:spacing w:val="3"/>
          <w:sz w:val="16"/>
          <w:szCs w:val="16"/>
        </w:rPr>
      </w:pPr>
      <w:r>
        <w:rPr>
          <w:b/>
          <w:bCs/>
          <w:color w:val="000000"/>
          <w:spacing w:val="1"/>
          <w:sz w:val="16"/>
          <w:szCs w:val="16"/>
        </w:rPr>
        <w:t>Obr.</w:t>
      </w:r>
      <w:r w:rsidR="00784095" w:rsidRPr="00784095">
        <w:rPr>
          <w:b/>
          <w:bCs/>
          <w:color w:val="000000"/>
          <w:spacing w:val="1"/>
          <w:sz w:val="16"/>
          <w:szCs w:val="16"/>
        </w:rPr>
        <w:t xml:space="preserve"> SPM.8:</w:t>
      </w:r>
      <w:r w:rsidR="00784095" w:rsidRPr="00784095">
        <w:rPr>
          <w:bCs/>
          <w:color w:val="000000"/>
          <w:spacing w:val="1"/>
          <w:sz w:val="16"/>
          <w:szCs w:val="16"/>
        </w:rPr>
        <w:t xml:space="preserve"> Mapy výsledků multimodelových průměrů CMIP5 pro scénáře RCP2.6 a RCP8.5  a pro období let 2081-2100 pro (a) změnu průměrné roční teploty vzduchu při povrchu, (b) průměrnou percentuální změnu průměrných ročních úhrnů srážek, (c) rozsah mořského ledu na severní polokouli v září a (d) změnu hodnoty pH povrchové vody oceánu. Změny na panelech (a), (b) a (d) jsou vyznačeny v porovnání s obdobím let 1986-2005. Počty modelů CMIP5 použitých na výpočet multimodelového průměru jsou uvedeny v pravém horním rohu každého panelu. U panelů (a) a (b) označuje šrafování oblasti, kde je multimodelový průměr malý v porovnání s vnitřní variabilitou (tj. menší než jedna směrodatná odchylka vnitřní variability 20-letých průměrů). Tečkování označuje oblasti, kde je multimodelový průměr velký v porovnání s vnitřní variabilitou (tj. větší než dvě směrodatné odchylky vnitřní variability 20-letých průměrů) a kde se 90 % modelů shoduje ve znaménku změny (viz box 12.1). Na panelu (c) představují křivky modelované průměry pro období let 1986-2005; vybarvené oblasti označují konec století. Multimodelový průměr CMIP5 je znázorněn bíle, projektovaný střední rozsah mořského ledu u podmnožiny modelů (počty modelů jsou uvedeny v závorkách),</w:t>
      </w:r>
      <w:r w:rsidR="00784095" w:rsidRPr="00784095">
        <w:rPr>
          <w:color w:val="000000"/>
          <w:spacing w:val="-9"/>
          <w:sz w:val="16"/>
          <w:szCs w:val="16"/>
        </w:rPr>
        <w:t xml:space="preserve"> které nejblíže reprodukují klimatologický průměrný stav a trend arktického mořského ledu v období 1979-2012 je znázorněn světle modrou barvou. Další odborné informace jsou uvedeny v Dodatku k Technical Summary</w:t>
      </w:r>
      <w:r w:rsidR="00784095" w:rsidRPr="00784095">
        <w:rPr>
          <w:color w:val="000000"/>
          <w:sz w:val="16"/>
          <w:szCs w:val="16"/>
        </w:rPr>
        <w:t xml:space="preserve"> {obr. 6.28, 12.11, 12.22 a 12.29; obr. TS.15, TS.16, </w:t>
      </w:r>
      <w:r w:rsidR="00784095" w:rsidRPr="00784095">
        <w:rPr>
          <w:color w:val="000000"/>
          <w:spacing w:val="3"/>
          <w:sz w:val="16"/>
          <w:szCs w:val="16"/>
        </w:rPr>
        <w:t>TS.17 a TS.20}</w:t>
      </w:r>
    </w:p>
    <w:p w:rsidR="00784095" w:rsidRDefault="00784095" w:rsidP="00784095">
      <w:pPr>
        <w:shd w:val="clear" w:color="auto" w:fill="FFFFFF"/>
        <w:ind w:right="79"/>
        <w:jc w:val="both"/>
        <w:rPr>
          <w:color w:val="000000"/>
          <w:spacing w:val="3"/>
          <w:sz w:val="16"/>
          <w:szCs w:val="16"/>
        </w:rPr>
      </w:pPr>
    </w:p>
    <w:p w:rsidR="00784095" w:rsidRDefault="00784095" w:rsidP="00784095">
      <w:pPr>
        <w:pStyle w:val="Bezmezer"/>
        <w:numPr>
          <w:ilvl w:val="0"/>
          <w:numId w:val="6"/>
        </w:numPr>
        <w:shd w:val="clear" w:color="auto" w:fill="FFFFFF"/>
        <w:ind w:left="426" w:hanging="426"/>
        <w:jc w:val="both"/>
        <w:rPr>
          <w:color w:val="000000"/>
          <w:spacing w:val="-1"/>
        </w:rPr>
      </w:pPr>
      <w:r w:rsidRPr="00784095">
        <w:rPr>
          <w:color w:val="000000"/>
          <w:spacing w:val="-1"/>
        </w:rPr>
        <w:lastRenderedPageBreak/>
        <w:t xml:space="preserve">Podle scénáře RCP8.5 </w:t>
      </w:r>
      <w:r w:rsidRPr="00784095">
        <w:rPr>
          <w:i/>
          <w:color w:val="000000"/>
          <w:spacing w:val="-1"/>
        </w:rPr>
        <w:t>pravděpodobně</w:t>
      </w:r>
      <w:r w:rsidRPr="00784095">
        <w:rPr>
          <w:color w:val="000000"/>
          <w:spacing w:val="-1"/>
        </w:rPr>
        <w:t xml:space="preserve"> dojde do konce tohoto století ve vysokých zeměpisných šířkách a v rovníkových oblastech Tichého oceánu ke zvýšení průměrných ročních úhrnů srážek. Podle tohoto scénáře  v mnoha suchých oblastech ve středních zeměpisných šířkách a v subtropických oblastech průměrný úhrn srážek </w:t>
      </w:r>
      <w:r w:rsidRPr="00784095">
        <w:rPr>
          <w:i/>
          <w:color w:val="000000"/>
          <w:spacing w:val="-1"/>
        </w:rPr>
        <w:t xml:space="preserve">pravděpodobně </w:t>
      </w:r>
      <w:r w:rsidRPr="00784095">
        <w:rPr>
          <w:color w:val="000000"/>
          <w:spacing w:val="-1"/>
        </w:rPr>
        <w:t xml:space="preserve">poklesne, zatímco v mnoha vlhkých oblastech ve středních zeměpisných šířkách se průměrný úhrn srážek do konce tohoto století </w:t>
      </w:r>
      <w:r w:rsidRPr="00784095">
        <w:rPr>
          <w:i/>
          <w:color w:val="000000"/>
          <w:spacing w:val="-1"/>
        </w:rPr>
        <w:t>pravděpodobně</w:t>
      </w:r>
      <w:r w:rsidRPr="00784095">
        <w:rPr>
          <w:color w:val="000000"/>
          <w:spacing w:val="-1"/>
        </w:rPr>
        <w:t xml:space="preserve"> zvýší (viz obr. SPM.8). {7.6, 12.4, 14.3}</w:t>
      </w:r>
    </w:p>
    <w:p w:rsidR="00784095" w:rsidRPr="00784095" w:rsidRDefault="00784095" w:rsidP="00784095">
      <w:pPr>
        <w:pStyle w:val="Bezmezer"/>
        <w:shd w:val="clear" w:color="auto" w:fill="FFFFFF"/>
        <w:jc w:val="both"/>
        <w:rPr>
          <w:color w:val="000000"/>
          <w:spacing w:val="-1"/>
        </w:rPr>
      </w:pPr>
    </w:p>
    <w:p w:rsidR="00784095" w:rsidRDefault="00784095" w:rsidP="00784095">
      <w:pPr>
        <w:pStyle w:val="Bezmezer"/>
        <w:numPr>
          <w:ilvl w:val="0"/>
          <w:numId w:val="6"/>
        </w:numPr>
        <w:shd w:val="clear" w:color="auto" w:fill="FFFFFF"/>
        <w:ind w:left="426" w:hanging="426"/>
        <w:jc w:val="both"/>
        <w:rPr>
          <w:color w:val="000000"/>
          <w:spacing w:val="-1"/>
        </w:rPr>
      </w:pPr>
      <w:r w:rsidRPr="00784095">
        <w:rPr>
          <w:color w:val="000000"/>
          <w:spacing w:val="-1"/>
        </w:rPr>
        <w:t xml:space="preserve">S růstem průměrné globální teploty vzduchu se četnost výskytu a intenzita extrémních srážek do konce tohoto století </w:t>
      </w:r>
      <w:r w:rsidRPr="00784095">
        <w:rPr>
          <w:i/>
          <w:color w:val="000000"/>
          <w:spacing w:val="-1"/>
        </w:rPr>
        <w:t>velmi pravděpodobně</w:t>
      </w:r>
      <w:r w:rsidRPr="00784095">
        <w:rPr>
          <w:color w:val="000000"/>
          <w:spacing w:val="-1"/>
        </w:rPr>
        <w:t xml:space="preserve"> zvýší nad většinou pevninských oblastí ve středních zeměpisných šířkách a nad vlhkými tropickými oblastmi (viz tab. SPM.1). {7.6, 12.4}</w:t>
      </w:r>
    </w:p>
    <w:p w:rsidR="00784095" w:rsidRPr="00784095" w:rsidRDefault="00784095" w:rsidP="00784095">
      <w:pPr>
        <w:pStyle w:val="Bezmezer"/>
        <w:shd w:val="clear" w:color="auto" w:fill="FFFFFF"/>
        <w:jc w:val="both"/>
        <w:rPr>
          <w:color w:val="000000"/>
          <w:spacing w:val="-1"/>
        </w:rPr>
      </w:pPr>
    </w:p>
    <w:p w:rsidR="00784095" w:rsidRDefault="00784095" w:rsidP="00784095">
      <w:pPr>
        <w:pStyle w:val="Bezmezer"/>
        <w:numPr>
          <w:ilvl w:val="0"/>
          <w:numId w:val="6"/>
        </w:numPr>
        <w:shd w:val="clear" w:color="auto" w:fill="FFFFFF"/>
        <w:ind w:left="426" w:hanging="426"/>
        <w:jc w:val="both"/>
        <w:rPr>
          <w:color w:val="000000"/>
          <w:spacing w:val="-1"/>
        </w:rPr>
      </w:pPr>
      <w:r w:rsidRPr="00784095">
        <w:rPr>
          <w:color w:val="000000"/>
          <w:spacing w:val="-1"/>
        </w:rPr>
        <w:t xml:space="preserve">V globálním měřítku je </w:t>
      </w:r>
      <w:r w:rsidRPr="00784095">
        <w:rPr>
          <w:i/>
          <w:color w:val="000000"/>
          <w:spacing w:val="-1"/>
        </w:rPr>
        <w:t>pravděpodobné</w:t>
      </w:r>
      <w:r w:rsidRPr="00784095">
        <w:rPr>
          <w:color w:val="000000"/>
          <w:spacing w:val="-1"/>
        </w:rPr>
        <w:t xml:space="preserve">, že se monzunové oblasti v 21. století rozšíří. Zatímco monzunové větry </w:t>
      </w:r>
      <w:r w:rsidRPr="00784095">
        <w:rPr>
          <w:i/>
          <w:color w:val="000000"/>
          <w:spacing w:val="-1"/>
        </w:rPr>
        <w:t>pravděpodobně</w:t>
      </w:r>
      <w:r w:rsidRPr="00784095">
        <w:rPr>
          <w:color w:val="000000"/>
          <w:spacing w:val="-1"/>
        </w:rPr>
        <w:t xml:space="preserve"> zeslábnou, monzunové srážky </w:t>
      </w:r>
      <w:r w:rsidRPr="00784095">
        <w:rPr>
          <w:i/>
          <w:color w:val="000000"/>
          <w:spacing w:val="-1"/>
        </w:rPr>
        <w:t>pravděpodobně</w:t>
      </w:r>
      <w:r w:rsidRPr="00784095">
        <w:rPr>
          <w:color w:val="000000"/>
          <w:spacing w:val="-1"/>
        </w:rPr>
        <w:t xml:space="preserve"> zesílí v důsledku zvýšení atmosférické vlhkosti. Monzun bude </w:t>
      </w:r>
      <w:r w:rsidRPr="00784095">
        <w:rPr>
          <w:i/>
          <w:color w:val="000000"/>
          <w:spacing w:val="-1"/>
        </w:rPr>
        <w:t>pravděpodobně</w:t>
      </w:r>
      <w:r w:rsidRPr="00784095">
        <w:rPr>
          <w:color w:val="000000"/>
          <w:spacing w:val="-1"/>
        </w:rPr>
        <w:t xml:space="preserve"> nastupovat dříve nebo se datum jejich nástupu příliš nezmění. Konec monzunu bude </w:t>
      </w:r>
      <w:r w:rsidRPr="00784095">
        <w:rPr>
          <w:i/>
          <w:color w:val="000000"/>
          <w:spacing w:val="-1"/>
        </w:rPr>
        <w:t>pravděpodobně</w:t>
      </w:r>
      <w:r w:rsidRPr="00784095">
        <w:rPr>
          <w:color w:val="000000"/>
          <w:spacing w:val="-1"/>
        </w:rPr>
        <w:t xml:space="preserve"> opožděn, takže se monzunové období v mnoha oblastech prodlouží. {14.2}</w:t>
      </w:r>
    </w:p>
    <w:p w:rsidR="00784095" w:rsidRPr="00784095" w:rsidRDefault="00784095" w:rsidP="00784095">
      <w:pPr>
        <w:pStyle w:val="Bezmezer"/>
        <w:shd w:val="clear" w:color="auto" w:fill="FFFFFF"/>
        <w:jc w:val="both"/>
        <w:rPr>
          <w:color w:val="000000"/>
          <w:spacing w:val="-1"/>
        </w:rPr>
      </w:pPr>
    </w:p>
    <w:p w:rsidR="00784095" w:rsidRDefault="00784095" w:rsidP="00784095">
      <w:pPr>
        <w:pStyle w:val="Bezmezer"/>
        <w:numPr>
          <w:ilvl w:val="0"/>
          <w:numId w:val="6"/>
        </w:numPr>
        <w:shd w:val="clear" w:color="auto" w:fill="FFFFFF"/>
        <w:ind w:left="426" w:hanging="426"/>
        <w:jc w:val="both"/>
        <w:rPr>
          <w:color w:val="000000"/>
          <w:spacing w:val="-1"/>
        </w:rPr>
      </w:pPr>
      <w:r w:rsidRPr="00784095">
        <w:rPr>
          <w:color w:val="000000"/>
          <w:spacing w:val="-1"/>
        </w:rPr>
        <w:t xml:space="preserve">Je </w:t>
      </w:r>
      <w:r w:rsidRPr="00784095">
        <w:rPr>
          <w:i/>
          <w:color w:val="000000"/>
          <w:spacing w:val="-1"/>
        </w:rPr>
        <w:t>velmi spolehlivé</w:t>
      </w:r>
      <w:r w:rsidRPr="00784095">
        <w:rPr>
          <w:color w:val="000000"/>
          <w:spacing w:val="-1"/>
        </w:rPr>
        <w:t xml:space="preserve">, že El Niňo – Jižní oscilace (ENSO) zůstane v tropických oblastech Tichého oceánu dominantním modem meziroční variability a bude mít v 21. století globální účinky. V důsledku nárůstu dostupné vlhkosti bude variabilita srážek souvisejících s ENSO v regionálním měřítku </w:t>
      </w:r>
      <w:r w:rsidRPr="00784095">
        <w:rPr>
          <w:i/>
          <w:color w:val="000000"/>
          <w:spacing w:val="-1"/>
        </w:rPr>
        <w:t>pravděpodobně</w:t>
      </w:r>
      <w:r w:rsidRPr="00784095">
        <w:rPr>
          <w:color w:val="000000"/>
          <w:spacing w:val="-1"/>
        </w:rPr>
        <w:t xml:space="preserve"> větší. Přirozené kolísání intenzity a prostorového rozložení ENSO jsou velké, a proto zůstává </w:t>
      </w:r>
      <w:r w:rsidRPr="00784095">
        <w:rPr>
          <w:i/>
          <w:color w:val="000000"/>
          <w:spacing w:val="-1"/>
        </w:rPr>
        <w:t xml:space="preserve">spolehlivost </w:t>
      </w:r>
      <w:r w:rsidRPr="00784095">
        <w:rPr>
          <w:color w:val="000000"/>
          <w:spacing w:val="-1"/>
        </w:rPr>
        <w:t xml:space="preserve">všech konkrétních změn ENSO a souvisejících regionálních jevů projektovaných pro 21. století </w:t>
      </w:r>
      <w:r w:rsidRPr="00784095">
        <w:rPr>
          <w:i/>
          <w:color w:val="000000"/>
          <w:spacing w:val="-1"/>
        </w:rPr>
        <w:t>nízká</w:t>
      </w:r>
      <w:r w:rsidRPr="00784095">
        <w:rPr>
          <w:color w:val="000000"/>
          <w:spacing w:val="-1"/>
        </w:rPr>
        <w:t>. {5.4, 14.4}</w:t>
      </w:r>
    </w:p>
    <w:p w:rsidR="00784095" w:rsidRDefault="00784095" w:rsidP="00784095">
      <w:pPr>
        <w:pStyle w:val="Odstavecseseznamem"/>
        <w:rPr>
          <w:color w:val="000000"/>
          <w:spacing w:val="-1"/>
        </w:rPr>
      </w:pPr>
    </w:p>
    <w:p w:rsidR="00784095" w:rsidRDefault="00784095" w:rsidP="00784095">
      <w:pPr>
        <w:shd w:val="clear" w:color="auto" w:fill="FFFFFF"/>
        <w:ind w:left="10"/>
        <w:jc w:val="both"/>
        <w:rPr>
          <w:color w:val="000000"/>
          <w:sz w:val="16"/>
          <w:szCs w:val="16"/>
        </w:rPr>
      </w:pPr>
      <w:r w:rsidRPr="00784095">
        <w:rPr>
          <w:b/>
          <w:bCs/>
          <w:color w:val="000000"/>
          <w:spacing w:val="2"/>
          <w:sz w:val="16"/>
          <w:szCs w:val="16"/>
        </w:rPr>
        <w:t>Tab</w:t>
      </w:r>
      <w:r w:rsidR="002900DC">
        <w:rPr>
          <w:b/>
          <w:bCs/>
          <w:color w:val="000000"/>
          <w:spacing w:val="2"/>
          <w:sz w:val="16"/>
          <w:szCs w:val="16"/>
        </w:rPr>
        <w:t>.</w:t>
      </w:r>
      <w:r w:rsidRPr="00784095">
        <w:rPr>
          <w:b/>
          <w:bCs/>
          <w:color w:val="000000"/>
          <w:spacing w:val="2"/>
          <w:sz w:val="16"/>
          <w:szCs w:val="16"/>
        </w:rPr>
        <w:t xml:space="preserve">SPM.2: </w:t>
      </w:r>
      <w:r w:rsidRPr="00784095">
        <w:rPr>
          <w:color w:val="000000"/>
          <w:spacing w:val="2"/>
          <w:sz w:val="16"/>
          <w:szCs w:val="16"/>
        </w:rPr>
        <w:t>Projektovaná změna globální průměrné teploty vzduchu při povrchu a zvýšení globální průměrné hladiny oceánu pro střed a konec 21. století v porovnání s referenčním obdobím</w:t>
      </w:r>
      <w:r w:rsidRPr="00784095">
        <w:rPr>
          <w:color w:val="000000"/>
          <w:sz w:val="16"/>
          <w:szCs w:val="16"/>
        </w:rPr>
        <w:t xml:space="preserve"> 1986-2005. {12.4; tab. 12.2, tab. 13.5}</w:t>
      </w:r>
    </w:p>
    <w:p w:rsidR="00784095" w:rsidRDefault="00784095" w:rsidP="00784095">
      <w:pPr>
        <w:shd w:val="clear" w:color="auto" w:fill="FFFFFF"/>
        <w:ind w:left="10"/>
        <w:jc w:val="both"/>
        <w:rPr>
          <w:sz w:val="16"/>
          <w:szCs w:val="16"/>
        </w:rPr>
      </w:pPr>
    </w:p>
    <w:tbl>
      <w:tblPr>
        <w:tblStyle w:val="Mkatabulky"/>
        <w:tblW w:w="0" w:type="auto"/>
        <w:jc w:val="center"/>
        <w:tblInd w:w="10" w:type="dxa"/>
        <w:tblLook w:val="04A0" w:firstRow="1" w:lastRow="0" w:firstColumn="1" w:lastColumn="0" w:noHBand="0" w:noVBand="1"/>
      </w:tblPr>
      <w:tblGrid>
        <w:gridCol w:w="3673"/>
        <w:gridCol w:w="777"/>
        <w:gridCol w:w="777"/>
        <w:gridCol w:w="1971"/>
        <w:gridCol w:w="777"/>
        <w:gridCol w:w="1971"/>
      </w:tblGrid>
      <w:tr w:rsidR="008E5269" w:rsidRPr="00C907E7" w:rsidTr="008E5269">
        <w:trPr>
          <w:jc w:val="center"/>
        </w:trPr>
        <w:tc>
          <w:tcPr>
            <w:tcW w:w="0" w:type="auto"/>
            <w:gridSpan w:val="2"/>
            <w:shd w:val="clear" w:color="auto" w:fill="B8CCE4" w:themeFill="accent1" w:themeFillTint="66"/>
          </w:tcPr>
          <w:p w:rsidR="00784095" w:rsidRPr="00C907E7" w:rsidRDefault="00784095" w:rsidP="00C907E7">
            <w:pPr>
              <w:jc w:val="center"/>
              <w:rPr>
                <w:b/>
                <w:sz w:val="16"/>
                <w:szCs w:val="16"/>
              </w:rPr>
            </w:pPr>
          </w:p>
        </w:tc>
        <w:tc>
          <w:tcPr>
            <w:tcW w:w="0" w:type="auto"/>
            <w:gridSpan w:val="2"/>
            <w:shd w:val="clear" w:color="auto" w:fill="B8CCE4" w:themeFill="accent1" w:themeFillTint="66"/>
          </w:tcPr>
          <w:p w:rsidR="00784095" w:rsidRPr="00C907E7" w:rsidRDefault="008E5269" w:rsidP="00C907E7">
            <w:pPr>
              <w:jc w:val="center"/>
              <w:rPr>
                <w:b/>
                <w:sz w:val="16"/>
                <w:szCs w:val="16"/>
              </w:rPr>
            </w:pPr>
            <w:r w:rsidRPr="00C907E7">
              <w:rPr>
                <w:b/>
                <w:sz w:val="16"/>
                <w:szCs w:val="16"/>
              </w:rPr>
              <w:t>2046-2065</w:t>
            </w:r>
          </w:p>
        </w:tc>
        <w:tc>
          <w:tcPr>
            <w:tcW w:w="0" w:type="auto"/>
            <w:gridSpan w:val="2"/>
            <w:shd w:val="clear" w:color="auto" w:fill="B8CCE4" w:themeFill="accent1" w:themeFillTint="66"/>
          </w:tcPr>
          <w:p w:rsidR="00784095" w:rsidRPr="00C907E7" w:rsidRDefault="008E5269" w:rsidP="00C907E7">
            <w:pPr>
              <w:jc w:val="center"/>
              <w:rPr>
                <w:b/>
                <w:sz w:val="16"/>
                <w:szCs w:val="16"/>
              </w:rPr>
            </w:pPr>
            <w:r w:rsidRPr="00C907E7">
              <w:rPr>
                <w:b/>
                <w:sz w:val="16"/>
                <w:szCs w:val="16"/>
              </w:rPr>
              <w:t>2081-2100</w:t>
            </w:r>
          </w:p>
        </w:tc>
      </w:tr>
      <w:tr w:rsidR="00C907E7" w:rsidRPr="00C907E7" w:rsidTr="00C907E7">
        <w:trPr>
          <w:jc w:val="center"/>
        </w:trPr>
        <w:tc>
          <w:tcPr>
            <w:tcW w:w="0" w:type="auto"/>
            <w:tcBorders>
              <w:bottom w:val="single" w:sz="4" w:space="0" w:color="auto"/>
            </w:tcBorders>
            <w:shd w:val="clear" w:color="auto" w:fill="B8CCE4" w:themeFill="accent1" w:themeFillTint="66"/>
            <w:vAlign w:val="center"/>
          </w:tcPr>
          <w:p w:rsidR="008E5269" w:rsidRPr="00C907E7" w:rsidRDefault="008E5269" w:rsidP="00C907E7">
            <w:pPr>
              <w:jc w:val="center"/>
              <w:rPr>
                <w:b/>
                <w:sz w:val="16"/>
                <w:szCs w:val="16"/>
              </w:rPr>
            </w:pPr>
          </w:p>
        </w:tc>
        <w:tc>
          <w:tcPr>
            <w:tcW w:w="0" w:type="auto"/>
            <w:tcBorders>
              <w:bottom w:val="single" w:sz="4" w:space="0" w:color="auto"/>
            </w:tcBorders>
            <w:shd w:val="clear" w:color="auto" w:fill="B8CCE4" w:themeFill="accent1" w:themeFillTint="66"/>
            <w:vAlign w:val="center"/>
          </w:tcPr>
          <w:p w:rsidR="008E5269" w:rsidRPr="00C907E7" w:rsidRDefault="008E5269" w:rsidP="00C907E7">
            <w:pPr>
              <w:jc w:val="center"/>
              <w:rPr>
                <w:b/>
                <w:sz w:val="16"/>
                <w:szCs w:val="16"/>
              </w:rPr>
            </w:pPr>
            <w:r w:rsidRPr="00C907E7">
              <w:rPr>
                <w:b/>
                <w:sz w:val="16"/>
                <w:szCs w:val="16"/>
              </w:rPr>
              <w:t>Scénář</w:t>
            </w:r>
          </w:p>
        </w:tc>
        <w:tc>
          <w:tcPr>
            <w:tcW w:w="0" w:type="auto"/>
            <w:tcBorders>
              <w:bottom w:val="single" w:sz="4" w:space="0" w:color="auto"/>
            </w:tcBorders>
            <w:shd w:val="clear" w:color="auto" w:fill="B8CCE4" w:themeFill="accent1" w:themeFillTint="66"/>
            <w:vAlign w:val="center"/>
          </w:tcPr>
          <w:p w:rsidR="008E5269" w:rsidRPr="00C907E7" w:rsidRDefault="008E5269" w:rsidP="00C907E7">
            <w:pPr>
              <w:jc w:val="center"/>
              <w:rPr>
                <w:b/>
                <w:sz w:val="16"/>
                <w:szCs w:val="16"/>
              </w:rPr>
            </w:pPr>
            <w:r w:rsidRPr="00C907E7">
              <w:rPr>
                <w:b/>
                <w:sz w:val="16"/>
                <w:szCs w:val="16"/>
              </w:rPr>
              <w:t>Průměr</w:t>
            </w:r>
          </w:p>
        </w:tc>
        <w:tc>
          <w:tcPr>
            <w:tcW w:w="0" w:type="auto"/>
            <w:tcBorders>
              <w:bottom w:val="single" w:sz="4" w:space="0" w:color="auto"/>
            </w:tcBorders>
            <w:shd w:val="clear" w:color="auto" w:fill="B8CCE4" w:themeFill="accent1" w:themeFillTint="66"/>
            <w:vAlign w:val="center"/>
          </w:tcPr>
          <w:p w:rsidR="008E5269" w:rsidRPr="00C907E7" w:rsidRDefault="008E5269" w:rsidP="00C907E7">
            <w:pPr>
              <w:jc w:val="center"/>
              <w:rPr>
                <w:b/>
                <w:sz w:val="16"/>
                <w:szCs w:val="16"/>
                <w:vertAlign w:val="superscript"/>
              </w:rPr>
            </w:pPr>
            <w:r w:rsidRPr="00C907E7">
              <w:rPr>
                <w:b/>
                <w:sz w:val="16"/>
                <w:szCs w:val="16"/>
              </w:rPr>
              <w:t>Pravděpodobný rozsah</w:t>
            </w:r>
            <w:r w:rsidRPr="00C907E7">
              <w:rPr>
                <w:b/>
                <w:sz w:val="16"/>
                <w:szCs w:val="16"/>
                <w:vertAlign w:val="superscript"/>
              </w:rPr>
              <w:t>c</w:t>
            </w:r>
          </w:p>
        </w:tc>
        <w:tc>
          <w:tcPr>
            <w:tcW w:w="0" w:type="auto"/>
            <w:tcBorders>
              <w:bottom w:val="single" w:sz="4" w:space="0" w:color="auto"/>
            </w:tcBorders>
            <w:shd w:val="clear" w:color="auto" w:fill="B8CCE4" w:themeFill="accent1" w:themeFillTint="66"/>
            <w:vAlign w:val="center"/>
          </w:tcPr>
          <w:p w:rsidR="008E5269" w:rsidRPr="00C907E7" w:rsidRDefault="008E5269" w:rsidP="00C907E7">
            <w:pPr>
              <w:jc w:val="center"/>
              <w:rPr>
                <w:b/>
                <w:sz w:val="16"/>
                <w:szCs w:val="16"/>
              </w:rPr>
            </w:pPr>
            <w:r w:rsidRPr="00C907E7">
              <w:rPr>
                <w:b/>
                <w:sz w:val="16"/>
                <w:szCs w:val="16"/>
              </w:rPr>
              <w:t>Průměr</w:t>
            </w:r>
          </w:p>
        </w:tc>
        <w:tc>
          <w:tcPr>
            <w:tcW w:w="0" w:type="auto"/>
            <w:tcBorders>
              <w:bottom w:val="single" w:sz="4" w:space="0" w:color="auto"/>
            </w:tcBorders>
            <w:shd w:val="clear" w:color="auto" w:fill="B8CCE4" w:themeFill="accent1" w:themeFillTint="66"/>
            <w:vAlign w:val="center"/>
          </w:tcPr>
          <w:p w:rsidR="008E5269" w:rsidRPr="00C907E7" w:rsidRDefault="008E5269" w:rsidP="00C907E7">
            <w:pPr>
              <w:jc w:val="center"/>
              <w:rPr>
                <w:b/>
                <w:sz w:val="16"/>
                <w:szCs w:val="16"/>
                <w:vertAlign w:val="superscript"/>
              </w:rPr>
            </w:pPr>
            <w:r w:rsidRPr="00C907E7">
              <w:rPr>
                <w:b/>
                <w:sz w:val="16"/>
                <w:szCs w:val="16"/>
              </w:rPr>
              <w:t>Pravděpodobný rozsah</w:t>
            </w:r>
            <w:r w:rsidRPr="00C907E7">
              <w:rPr>
                <w:b/>
                <w:sz w:val="16"/>
                <w:szCs w:val="16"/>
                <w:vertAlign w:val="superscript"/>
              </w:rPr>
              <w:t>c</w:t>
            </w:r>
          </w:p>
        </w:tc>
      </w:tr>
      <w:tr w:rsidR="008E5269" w:rsidRPr="008E5269" w:rsidTr="008E5269">
        <w:trPr>
          <w:jc w:val="center"/>
        </w:trPr>
        <w:tc>
          <w:tcPr>
            <w:tcW w:w="0" w:type="auto"/>
            <w:vMerge w:val="restart"/>
            <w:shd w:val="clear" w:color="auto" w:fill="B8CCE4" w:themeFill="accent1" w:themeFillTint="66"/>
            <w:vAlign w:val="center"/>
          </w:tcPr>
          <w:p w:rsidR="008E5269" w:rsidRPr="00C907E7" w:rsidRDefault="008E5269" w:rsidP="00C907E7">
            <w:pPr>
              <w:jc w:val="center"/>
              <w:rPr>
                <w:b/>
                <w:sz w:val="16"/>
                <w:szCs w:val="16"/>
                <w:vertAlign w:val="superscript"/>
              </w:rPr>
            </w:pPr>
            <w:r w:rsidRPr="00C907E7">
              <w:rPr>
                <w:b/>
                <w:sz w:val="16"/>
                <w:szCs w:val="16"/>
              </w:rPr>
              <w:t>Změna průměrné globální teploty při povrchu (°C)</w:t>
            </w:r>
            <w:r w:rsidRPr="00C907E7">
              <w:rPr>
                <w:b/>
                <w:sz w:val="16"/>
                <w:szCs w:val="16"/>
                <w:vertAlign w:val="superscript"/>
              </w:rPr>
              <w:t>a</w:t>
            </w:r>
          </w:p>
        </w:tc>
        <w:tc>
          <w:tcPr>
            <w:tcW w:w="0" w:type="auto"/>
            <w:tcBorders>
              <w:bottom w:val="nil"/>
            </w:tcBorders>
            <w:shd w:val="clear" w:color="auto" w:fill="FDE9D9" w:themeFill="accent6" w:themeFillTint="33"/>
          </w:tcPr>
          <w:p w:rsidR="008E5269" w:rsidRPr="008E5269" w:rsidRDefault="00C907E7" w:rsidP="00C907E7">
            <w:pPr>
              <w:jc w:val="center"/>
              <w:rPr>
                <w:sz w:val="16"/>
                <w:szCs w:val="16"/>
              </w:rPr>
            </w:pPr>
            <w:r>
              <w:rPr>
                <w:sz w:val="16"/>
                <w:szCs w:val="16"/>
              </w:rPr>
              <w:t>RCP2.6</w:t>
            </w:r>
          </w:p>
        </w:tc>
        <w:tc>
          <w:tcPr>
            <w:tcW w:w="0" w:type="auto"/>
            <w:tcBorders>
              <w:bottom w:val="nil"/>
            </w:tcBorders>
            <w:shd w:val="clear" w:color="auto" w:fill="FDE9D9" w:themeFill="accent6" w:themeFillTint="33"/>
          </w:tcPr>
          <w:p w:rsidR="008E5269" w:rsidRPr="008E5269" w:rsidRDefault="00C907E7" w:rsidP="00C907E7">
            <w:pPr>
              <w:jc w:val="center"/>
              <w:rPr>
                <w:sz w:val="16"/>
                <w:szCs w:val="16"/>
              </w:rPr>
            </w:pPr>
            <w:r>
              <w:rPr>
                <w:sz w:val="16"/>
                <w:szCs w:val="16"/>
              </w:rPr>
              <w:t>1,0</w:t>
            </w:r>
          </w:p>
        </w:tc>
        <w:tc>
          <w:tcPr>
            <w:tcW w:w="0" w:type="auto"/>
            <w:tcBorders>
              <w:bottom w:val="nil"/>
            </w:tcBorders>
            <w:shd w:val="clear" w:color="auto" w:fill="FDE9D9" w:themeFill="accent6" w:themeFillTint="33"/>
          </w:tcPr>
          <w:p w:rsidR="008E5269" w:rsidRPr="008E5269" w:rsidRDefault="00C907E7" w:rsidP="00C907E7">
            <w:pPr>
              <w:jc w:val="center"/>
              <w:rPr>
                <w:sz w:val="16"/>
                <w:szCs w:val="16"/>
              </w:rPr>
            </w:pPr>
            <w:r>
              <w:rPr>
                <w:sz w:val="16"/>
                <w:szCs w:val="16"/>
              </w:rPr>
              <w:t>0,4 až 1,6</w:t>
            </w:r>
          </w:p>
        </w:tc>
        <w:tc>
          <w:tcPr>
            <w:tcW w:w="0" w:type="auto"/>
            <w:tcBorders>
              <w:bottom w:val="nil"/>
            </w:tcBorders>
            <w:shd w:val="clear" w:color="auto" w:fill="FDE9D9" w:themeFill="accent6" w:themeFillTint="33"/>
          </w:tcPr>
          <w:p w:rsidR="008E5269" w:rsidRPr="008E5269" w:rsidRDefault="00C907E7" w:rsidP="00C907E7">
            <w:pPr>
              <w:jc w:val="center"/>
              <w:rPr>
                <w:sz w:val="16"/>
                <w:szCs w:val="16"/>
              </w:rPr>
            </w:pPr>
            <w:r>
              <w:rPr>
                <w:sz w:val="16"/>
                <w:szCs w:val="16"/>
              </w:rPr>
              <w:t>1,0</w:t>
            </w:r>
          </w:p>
        </w:tc>
        <w:tc>
          <w:tcPr>
            <w:tcW w:w="0" w:type="auto"/>
            <w:tcBorders>
              <w:bottom w:val="nil"/>
            </w:tcBorders>
            <w:shd w:val="clear" w:color="auto" w:fill="FDE9D9" w:themeFill="accent6" w:themeFillTint="33"/>
          </w:tcPr>
          <w:p w:rsidR="008E5269" w:rsidRPr="008E5269" w:rsidRDefault="00C907E7" w:rsidP="00C907E7">
            <w:pPr>
              <w:jc w:val="center"/>
              <w:rPr>
                <w:sz w:val="16"/>
                <w:szCs w:val="16"/>
              </w:rPr>
            </w:pPr>
            <w:r>
              <w:rPr>
                <w:sz w:val="16"/>
                <w:szCs w:val="16"/>
              </w:rPr>
              <w:t>0,3 až 1,7</w:t>
            </w:r>
          </w:p>
        </w:tc>
      </w:tr>
      <w:tr w:rsidR="008E5269" w:rsidRPr="008E5269" w:rsidTr="00C907E7">
        <w:trPr>
          <w:jc w:val="center"/>
        </w:trPr>
        <w:tc>
          <w:tcPr>
            <w:tcW w:w="0" w:type="auto"/>
            <w:vMerge/>
            <w:shd w:val="clear" w:color="auto" w:fill="B8CCE4" w:themeFill="accent1" w:themeFillTint="66"/>
          </w:tcPr>
          <w:p w:rsidR="008E5269" w:rsidRPr="008E5269" w:rsidRDefault="008E5269" w:rsidP="00C907E7">
            <w:pPr>
              <w:jc w:val="center"/>
              <w:rPr>
                <w:sz w:val="16"/>
                <w:szCs w:val="16"/>
              </w:rPr>
            </w:pPr>
          </w:p>
        </w:tc>
        <w:tc>
          <w:tcPr>
            <w:tcW w:w="0" w:type="auto"/>
            <w:tcBorders>
              <w:top w:val="nil"/>
              <w:bottom w:val="nil"/>
            </w:tcBorders>
          </w:tcPr>
          <w:p w:rsidR="008E5269" w:rsidRPr="008E5269" w:rsidRDefault="00C907E7" w:rsidP="00C907E7">
            <w:pPr>
              <w:jc w:val="center"/>
              <w:rPr>
                <w:sz w:val="16"/>
                <w:szCs w:val="16"/>
              </w:rPr>
            </w:pPr>
            <w:r>
              <w:rPr>
                <w:sz w:val="16"/>
                <w:szCs w:val="16"/>
              </w:rPr>
              <w:t>RCP4.5</w:t>
            </w:r>
          </w:p>
        </w:tc>
        <w:tc>
          <w:tcPr>
            <w:tcW w:w="0" w:type="auto"/>
            <w:tcBorders>
              <w:top w:val="nil"/>
              <w:bottom w:val="nil"/>
            </w:tcBorders>
          </w:tcPr>
          <w:p w:rsidR="008E5269" w:rsidRPr="008E5269" w:rsidRDefault="00C907E7" w:rsidP="00C907E7">
            <w:pPr>
              <w:jc w:val="center"/>
              <w:rPr>
                <w:sz w:val="16"/>
                <w:szCs w:val="16"/>
              </w:rPr>
            </w:pPr>
            <w:r>
              <w:rPr>
                <w:sz w:val="16"/>
                <w:szCs w:val="16"/>
              </w:rPr>
              <w:t>1,4</w:t>
            </w:r>
          </w:p>
        </w:tc>
        <w:tc>
          <w:tcPr>
            <w:tcW w:w="0" w:type="auto"/>
            <w:tcBorders>
              <w:top w:val="nil"/>
              <w:bottom w:val="nil"/>
            </w:tcBorders>
          </w:tcPr>
          <w:p w:rsidR="008E5269" w:rsidRPr="008E5269" w:rsidRDefault="00C907E7" w:rsidP="00C907E7">
            <w:pPr>
              <w:jc w:val="center"/>
              <w:rPr>
                <w:sz w:val="16"/>
                <w:szCs w:val="16"/>
              </w:rPr>
            </w:pPr>
            <w:r>
              <w:rPr>
                <w:sz w:val="16"/>
                <w:szCs w:val="16"/>
              </w:rPr>
              <w:t>0,9 až 2,0</w:t>
            </w:r>
          </w:p>
        </w:tc>
        <w:tc>
          <w:tcPr>
            <w:tcW w:w="0" w:type="auto"/>
            <w:tcBorders>
              <w:top w:val="nil"/>
              <w:bottom w:val="nil"/>
            </w:tcBorders>
          </w:tcPr>
          <w:p w:rsidR="008E5269" w:rsidRPr="008E5269" w:rsidRDefault="00C907E7" w:rsidP="00C907E7">
            <w:pPr>
              <w:jc w:val="center"/>
              <w:rPr>
                <w:sz w:val="16"/>
                <w:szCs w:val="16"/>
              </w:rPr>
            </w:pPr>
            <w:r>
              <w:rPr>
                <w:sz w:val="16"/>
                <w:szCs w:val="16"/>
              </w:rPr>
              <w:t>1,8</w:t>
            </w:r>
          </w:p>
        </w:tc>
        <w:tc>
          <w:tcPr>
            <w:tcW w:w="0" w:type="auto"/>
            <w:tcBorders>
              <w:top w:val="nil"/>
              <w:bottom w:val="nil"/>
            </w:tcBorders>
          </w:tcPr>
          <w:p w:rsidR="008E5269" w:rsidRPr="008E5269" w:rsidRDefault="00C907E7" w:rsidP="00C907E7">
            <w:pPr>
              <w:jc w:val="center"/>
              <w:rPr>
                <w:sz w:val="16"/>
                <w:szCs w:val="16"/>
              </w:rPr>
            </w:pPr>
            <w:r>
              <w:rPr>
                <w:sz w:val="16"/>
                <w:szCs w:val="16"/>
              </w:rPr>
              <w:t>1,1 až 2,6</w:t>
            </w:r>
          </w:p>
        </w:tc>
      </w:tr>
      <w:tr w:rsidR="008E5269" w:rsidRPr="008E5269" w:rsidTr="00C907E7">
        <w:trPr>
          <w:jc w:val="center"/>
        </w:trPr>
        <w:tc>
          <w:tcPr>
            <w:tcW w:w="0" w:type="auto"/>
            <w:vMerge/>
            <w:shd w:val="clear" w:color="auto" w:fill="B8CCE4" w:themeFill="accent1" w:themeFillTint="66"/>
          </w:tcPr>
          <w:p w:rsidR="008E5269" w:rsidRPr="008E5269" w:rsidRDefault="008E5269" w:rsidP="00C907E7">
            <w:pPr>
              <w:jc w:val="center"/>
              <w:rPr>
                <w:sz w:val="16"/>
                <w:szCs w:val="16"/>
              </w:rPr>
            </w:pPr>
          </w:p>
        </w:tc>
        <w:tc>
          <w:tcPr>
            <w:tcW w:w="0" w:type="auto"/>
            <w:tcBorders>
              <w:top w:val="nil"/>
              <w:bottom w:val="nil"/>
            </w:tcBorders>
            <w:shd w:val="clear" w:color="auto" w:fill="FDE9D9" w:themeFill="accent6" w:themeFillTint="33"/>
          </w:tcPr>
          <w:p w:rsidR="008E5269" w:rsidRPr="008E5269" w:rsidRDefault="00C907E7" w:rsidP="00C907E7">
            <w:pPr>
              <w:jc w:val="center"/>
              <w:rPr>
                <w:sz w:val="16"/>
                <w:szCs w:val="16"/>
              </w:rPr>
            </w:pPr>
            <w:r>
              <w:rPr>
                <w:sz w:val="16"/>
                <w:szCs w:val="16"/>
              </w:rPr>
              <w:t>RCP6.0</w:t>
            </w:r>
          </w:p>
        </w:tc>
        <w:tc>
          <w:tcPr>
            <w:tcW w:w="0" w:type="auto"/>
            <w:tcBorders>
              <w:top w:val="nil"/>
              <w:bottom w:val="nil"/>
            </w:tcBorders>
            <w:shd w:val="clear" w:color="auto" w:fill="FDE9D9" w:themeFill="accent6" w:themeFillTint="33"/>
          </w:tcPr>
          <w:p w:rsidR="008E5269" w:rsidRPr="008E5269" w:rsidRDefault="00C907E7" w:rsidP="00C907E7">
            <w:pPr>
              <w:jc w:val="center"/>
              <w:rPr>
                <w:sz w:val="16"/>
                <w:szCs w:val="16"/>
              </w:rPr>
            </w:pPr>
            <w:r>
              <w:rPr>
                <w:sz w:val="16"/>
                <w:szCs w:val="16"/>
              </w:rPr>
              <w:t>1,3</w:t>
            </w:r>
          </w:p>
        </w:tc>
        <w:tc>
          <w:tcPr>
            <w:tcW w:w="0" w:type="auto"/>
            <w:tcBorders>
              <w:top w:val="nil"/>
              <w:bottom w:val="nil"/>
            </w:tcBorders>
            <w:shd w:val="clear" w:color="auto" w:fill="FDE9D9" w:themeFill="accent6" w:themeFillTint="33"/>
          </w:tcPr>
          <w:p w:rsidR="008E5269" w:rsidRPr="008E5269" w:rsidRDefault="00C907E7" w:rsidP="00C907E7">
            <w:pPr>
              <w:jc w:val="center"/>
              <w:rPr>
                <w:sz w:val="16"/>
                <w:szCs w:val="16"/>
              </w:rPr>
            </w:pPr>
            <w:r>
              <w:rPr>
                <w:sz w:val="16"/>
                <w:szCs w:val="16"/>
              </w:rPr>
              <w:t>0,8 až 1,8</w:t>
            </w:r>
          </w:p>
        </w:tc>
        <w:tc>
          <w:tcPr>
            <w:tcW w:w="0" w:type="auto"/>
            <w:tcBorders>
              <w:top w:val="nil"/>
              <w:bottom w:val="nil"/>
            </w:tcBorders>
            <w:shd w:val="clear" w:color="auto" w:fill="FDE9D9" w:themeFill="accent6" w:themeFillTint="33"/>
          </w:tcPr>
          <w:p w:rsidR="008E5269" w:rsidRPr="008E5269" w:rsidRDefault="00C907E7" w:rsidP="00C907E7">
            <w:pPr>
              <w:jc w:val="center"/>
              <w:rPr>
                <w:sz w:val="16"/>
                <w:szCs w:val="16"/>
              </w:rPr>
            </w:pPr>
            <w:r>
              <w:rPr>
                <w:sz w:val="16"/>
                <w:szCs w:val="16"/>
              </w:rPr>
              <w:t>2,2</w:t>
            </w:r>
          </w:p>
        </w:tc>
        <w:tc>
          <w:tcPr>
            <w:tcW w:w="0" w:type="auto"/>
            <w:tcBorders>
              <w:top w:val="nil"/>
              <w:bottom w:val="nil"/>
            </w:tcBorders>
            <w:shd w:val="clear" w:color="auto" w:fill="FDE9D9" w:themeFill="accent6" w:themeFillTint="33"/>
          </w:tcPr>
          <w:p w:rsidR="008E5269" w:rsidRPr="008E5269" w:rsidRDefault="00C907E7" w:rsidP="00C907E7">
            <w:pPr>
              <w:jc w:val="center"/>
              <w:rPr>
                <w:sz w:val="16"/>
                <w:szCs w:val="16"/>
              </w:rPr>
            </w:pPr>
            <w:r>
              <w:rPr>
                <w:sz w:val="16"/>
                <w:szCs w:val="16"/>
              </w:rPr>
              <w:t>1,4 až 3,1</w:t>
            </w:r>
          </w:p>
        </w:tc>
      </w:tr>
      <w:tr w:rsidR="008E5269" w:rsidRPr="008E5269" w:rsidTr="008E5269">
        <w:trPr>
          <w:jc w:val="center"/>
        </w:trPr>
        <w:tc>
          <w:tcPr>
            <w:tcW w:w="0" w:type="auto"/>
            <w:vMerge/>
            <w:tcBorders>
              <w:bottom w:val="single" w:sz="4" w:space="0" w:color="auto"/>
            </w:tcBorders>
            <w:shd w:val="clear" w:color="auto" w:fill="B8CCE4" w:themeFill="accent1" w:themeFillTint="66"/>
          </w:tcPr>
          <w:p w:rsidR="008E5269" w:rsidRPr="008E5269" w:rsidRDefault="008E5269" w:rsidP="00C907E7">
            <w:pPr>
              <w:jc w:val="center"/>
              <w:rPr>
                <w:sz w:val="16"/>
                <w:szCs w:val="16"/>
              </w:rPr>
            </w:pPr>
          </w:p>
        </w:tc>
        <w:tc>
          <w:tcPr>
            <w:tcW w:w="0" w:type="auto"/>
            <w:tcBorders>
              <w:top w:val="nil"/>
              <w:bottom w:val="single" w:sz="4" w:space="0" w:color="auto"/>
            </w:tcBorders>
          </w:tcPr>
          <w:p w:rsidR="008E5269" w:rsidRPr="008E5269" w:rsidRDefault="00C907E7" w:rsidP="00C907E7">
            <w:pPr>
              <w:jc w:val="center"/>
              <w:rPr>
                <w:sz w:val="16"/>
                <w:szCs w:val="16"/>
              </w:rPr>
            </w:pPr>
            <w:r>
              <w:rPr>
                <w:sz w:val="16"/>
                <w:szCs w:val="16"/>
              </w:rPr>
              <w:t>RCP8.5</w:t>
            </w:r>
          </w:p>
        </w:tc>
        <w:tc>
          <w:tcPr>
            <w:tcW w:w="0" w:type="auto"/>
            <w:tcBorders>
              <w:top w:val="nil"/>
              <w:bottom w:val="single" w:sz="4" w:space="0" w:color="auto"/>
            </w:tcBorders>
          </w:tcPr>
          <w:p w:rsidR="008E5269" w:rsidRPr="008E5269" w:rsidRDefault="00C907E7" w:rsidP="00C907E7">
            <w:pPr>
              <w:jc w:val="center"/>
              <w:rPr>
                <w:sz w:val="16"/>
                <w:szCs w:val="16"/>
              </w:rPr>
            </w:pPr>
            <w:r>
              <w:rPr>
                <w:sz w:val="16"/>
                <w:szCs w:val="16"/>
              </w:rPr>
              <w:t>2,0</w:t>
            </w:r>
          </w:p>
        </w:tc>
        <w:tc>
          <w:tcPr>
            <w:tcW w:w="0" w:type="auto"/>
            <w:tcBorders>
              <w:top w:val="nil"/>
              <w:bottom w:val="single" w:sz="4" w:space="0" w:color="auto"/>
            </w:tcBorders>
          </w:tcPr>
          <w:p w:rsidR="008E5269" w:rsidRPr="008E5269" w:rsidRDefault="00C907E7" w:rsidP="00C907E7">
            <w:pPr>
              <w:jc w:val="center"/>
              <w:rPr>
                <w:sz w:val="16"/>
                <w:szCs w:val="16"/>
              </w:rPr>
            </w:pPr>
            <w:r>
              <w:rPr>
                <w:sz w:val="16"/>
                <w:szCs w:val="16"/>
              </w:rPr>
              <w:t>1,4 až 2,6</w:t>
            </w:r>
          </w:p>
        </w:tc>
        <w:tc>
          <w:tcPr>
            <w:tcW w:w="0" w:type="auto"/>
            <w:tcBorders>
              <w:top w:val="nil"/>
              <w:bottom w:val="single" w:sz="4" w:space="0" w:color="auto"/>
            </w:tcBorders>
          </w:tcPr>
          <w:p w:rsidR="008E5269" w:rsidRPr="008E5269" w:rsidRDefault="00C907E7" w:rsidP="00C907E7">
            <w:pPr>
              <w:jc w:val="center"/>
              <w:rPr>
                <w:sz w:val="16"/>
                <w:szCs w:val="16"/>
              </w:rPr>
            </w:pPr>
            <w:r>
              <w:rPr>
                <w:sz w:val="16"/>
                <w:szCs w:val="16"/>
              </w:rPr>
              <w:t>3,7</w:t>
            </w:r>
          </w:p>
        </w:tc>
        <w:tc>
          <w:tcPr>
            <w:tcW w:w="0" w:type="auto"/>
            <w:tcBorders>
              <w:top w:val="nil"/>
              <w:bottom w:val="single" w:sz="4" w:space="0" w:color="auto"/>
            </w:tcBorders>
          </w:tcPr>
          <w:p w:rsidR="008E5269" w:rsidRPr="008E5269" w:rsidRDefault="00C907E7" w:rsidP="00C907E7">
            <w:pPr>
              <w:jc w:val="center"/>
              <w:rPr>
                <w:sz w:val="16"/>
                <w:szCs w:val="16"/>
              </w:rPr>
            </w:pPr>
            <w:r>
              <w:rPr>
                <w:sz w:val="16"/>
                <w:szCs w:val="16"/>
              </w:rPr>
              <w:t>2,6 až 4,8</w:t>
            </w:r>
          </w:p>
        </w:tc>
      </w:tr>
      <w:tr w:rsidR="00C907E7" w:rsidRPr="00C907E7" w:rsidTr="00C907E7">
        <w:trPr>
          <w:jc w:val="center"/>
        </w:trPr>
        <w:tc>
          <w:tcPr>
            <w:tcW w:w="0" w:type="auto"/>
            <w:shd w:val="clear" w:color="auto" w:fill="B8CCE4" w:themeFill="accent1" w:themeFillTint="66"/>
            <w:vAlign w:val="center"/>
          </w:tcPr>
          <w:p w:rsidR="008E5269" w:rsidRPr="00C907E7" w:rsidRDefault="008E5269" w:rsidP="00C907E7">
            <w:pPr>
              <w:jc w:val="center"/>
              <w:rPr>
                <w:b/>
                <w:sz w:val="16"/>
                <w:szCs w:val="16"/>
              </w:rPr>
            </w:pPr>
          </w:p>
        </w:tc>
        <w:tc>
          <w:tcPr>
            <w:tcW w:w="0" w:type="auto"/>
            <w:tcBorders>
              <w:bottom w:val="single" w:sz="4" w:space="0" w:color="auto"/>
            </w:tcBorders>
            <w:shd w:val="clear" w:color="auto" w:fill="B8CCE4" w:themeFill="accent1" w:themeFillTint="66"/>
            <w:vAlign w:val="center"/>
          </w:tcPr>
          <w:p w:rsidR="008E5269" w:rsidRPr="00C907E7" w:rsidRDefault="008E5269" w:rsidP="00C907E7">
            <w:pPr>
              <w:jc w:val="center"/>
              <w:rPr>
                <w:b/>
                <w:sz w:val="16"/>
                <w:szCs w:val="16"/>
              </w:rPr>
            </w:pPr>
            <w:r w:rsidRPr="00C907E7">
              <w:rPr>
                <w:b/>
                <w:sz w:val="16"/>
                <w:szCs w:val="16"/>
              </w:rPr>
              <w:t>Scénář</w:t>
            </w:r>
          </w:p>
        </w:tc>
        <w:tc>
          <w:tcPr>
            <w:tcW w:w="0" w:type="auto"/>
            <w:tcBorders>
              <w:bottom w:val="single" w:sz="4" w:space="0" w:color="auto"/>
            </w:tcBorders>
            <w:shd w:val="clear" w:color="auto" w:fill="B8CCE4" w:themeFill="accent1" w:themeFillTint="66"/>
            <w:vAlign w:val="center"/>
          </w:tcPr>
          <w:p w:rsidR="008E5269" w:rsidRPr="00C907E7" w:rsidRDefault="008E5269" w:rsidP="00C907E7">
            <w:pPr>
              <w:jc w:val="center"/>
              <w:rPr>
                <w:b/>
                <w:sz w:val="16"/>
                <w:szCs w:val="16"/>
              </w:rPr>
            </w:pPr>
            <w:r w:rsidRPr="00C907E7">
              <w:rPr>
                <w:b/>
                <w:sz w:val="16"/>
                <w:szCs w:val="16"/>
              </w:rPr>
              <w:t>Průměr</w:t>
            </w:r>
          </w:p>
        </w:tc>
        <w:tc>
          <w:tcPr>
            <w:tcW w:w="0" w:type="auto"/>
            <w:tcBorders>
              <w:bottom w:val="single" w:sz="4" w:space="0" w:color="auto"/>
            </w:tcBorders>
            <w:shd w:val="clear" w:color="auto" w:fill="B8CCE4" w:themeFill="accent1" w:themeFillTint="66"/>
            <w:vAlign w:val="center"/>
          </w:tcPr>
          <w:p w:rsidR="008E5269" w:rsidRPr="00C907E7" w:rsidRDefault="008E5269" w:rsidP="00C907E7">
            <w:pPr>
              <w:jc w:val="center"/>
              <w:rPr>
                <w:b/>
                <w:sz w:val="16"/>
                <w:szCs w:val="16"/>
              </w:rPr>
            </w:pPr>
            <w:r w:rsidRPr="00C907E7">
              <w:rPr>
                <w:b/>
                <w:sz w:val="16"/>
                <w:szCs w:val="16"/>
              </w:rPr>
              <w:t>Pravděpodobný rozsah</w:t>
            </w:r>
            <w:r w:rsidRPr="00C907E7">
              <w:rPr>
                <w:b/>
                <w:sz w:val="16"/>
                <w:szCs w:val="16"/>
                <w:vertAlign w:val="superscript"/>
              </w:rPr>
              <w:t>d</w:t>
            </w:r>
          </w:p>
        </w:tc>
        <w:tc>
          <w:tcPr>
            <w:tcW w:w="0" w:type="auto"/>
            <w:tcBorders>
              <w:bottom w:val="single" w:sz="4" w:space="0" w:color="auto"/>
            </w:tcBorders>
            <w:shd w:val="clear" w:color="auto" w:fill="B8CCE4" w:themeFill="accent1" w:themeFillTint="66"/>
            <w:vAlign w:val="center"/>
          </w:tcPr>
          <w:p w:rsidR="008E5269" w:rsidRPr="00C907E7" w:rsidRDefault="008E5269" w:rsidP="00C907E7">
            <w:pPr>
              <w:jc w:val="center"/>
              <w:rPr>
                <w:b/>
                <w:sz w:val="16"/>
                <w:szCs w:val="16"/>
              </w:rPr>
            </w:pPr>
            <w:r w:rsidRPr="00C907E7">
              <w:rPr>
                <w:b/>
                <w:sz w:val="16"/>
                <w:szCs w:val="16"/>
              </w:rPr>
              <w:t>Průměr</w:t>
            </w:r>
          </w:p>
        </w:tc>
        <w:tc>
          <w:tcPr>
            <w:tcW w:w="0" w:type="auto"/>
            <w:tcBorders>
              <w:bottom w:val="single" w:sz="4" w:space="0" w:color="auto"/>
            </w:tcBorders>
            <w:shd w:val="clear" w:color="auto" w:fill="B8CCE4" w:themeFill="accent1" w:themeFillTint="66"/>
            <w:vAlign w:val="center"/>
          </w:tcPr>
          <w:p w:rsidR="008E5269" w:rsidRPr="00C907E7" w:rsidRDefault="008E5269" w:rsidP="00C907E7">
            <w:pPr>
              <w:jc w:val="center"/>
              <w:rPr>
                <w:b/>
                <w:sz w:val="16"/>
                <w:szCs w:val="16"/>
              </w:rPr>
            </w:pPr>
            <w:r w:rsidRPr="00C907E7">
              <w:rPr>
                <w:b/>
                <w:sz w:val="16"/>
                <w:szCs w:val="16"/>
              </w:rPr>
              <w:t>Pravděpodobný rozsah</w:t>
            </w:r>
            <w:r w:rsidRPr="00C907E7">
              <w:rPr>
                <w:b/>
                <w:sz w:val="16"/>
                <w:szCs w:val="16"/>
                <w:vertAlign w:val="superscript"/>
              </w:rPr>
              <w:t>d</w:t>
            </w:r>
          </w:p>
        </w:tc>
      </w:tr>
      <w:tr w:rsidR="008E5269" w:rsidRPr="008E5269" w:rsidTr="00C907E7">
        <w:trPr>
          <w:jc w:val="center"/>
        </w:trPr>
        <w:tc>
          <w:tcPr>
            <w:tcW w:w="0" w:type="auto"/>
            <w:vMerge w:val="restart"/>
            <w:shd w:val="clear" w:color="auto" w:fill="B8CCE4" w:themeFill="accent1" w:themeFillTint="66"/>
            <w:vAlign w:val="center"/>
          </w:tcPr>
          <w:p w:rsidR="008E5269" w:rsidRPr="00C907E7" w:rsidRDefault="008E5269" w:rsidP="00C907E7">
            <w:pPr>
              <w:jc w:val="center"/>
              <w:rPr>
                <w:b/>
                <w:sz w:val="16"/>
                <w:szCs w:val="16"/>
                <w:vertAlign w:val="superscript"/>
              </w:rPr>
            </w:pPr>
            <w:r w:rsidRPr="00C907E7">
              <w:rPr>
                <w:b/>
                <w:sz w:val="16"/>
                <w:szCs w:val="16"/>
              </w:rPr>
              <w:t>Zvýšení globální střední hladiny oceánu (m)</w:t>
            </w:r>
            <w:r w:rsidRPr="00C907E7">
              <w:rPr>
                <w:b/>
                <w:sz w:val="16"/>
                <w:szCs w:val="16"/>
                <w:vertAlign w:val="superscript"/>
              </w:rPr>
              <w:t>b</w:t>
            </w:r>
          </w:p>
        </w:tc>
        <w:tc>
          <w:tcPr>
            <w:tcW w:w="0" w:type="auto"/>
            <w:tcBorders>
              <w:bottom w:val="nil"/>
            </w:tcBorders>
            <w:shd w:val="clear" w:color="auto" w:fill="FDE9D9" w:themeFill="accent6" w:themeFillTint="33"/>
          </w:tcPr>
          <w:p w:rsidR="008E5269" w:rsidRPr="008E5269" w:rsidRDefault="00C907E7" w:rsidP="00C907E7">
            <w:pPr>
              <w:jc w:val="center"/>
              <w:rPr>
                <w:sz w:val="16"/>
                <w:szCs w:val="16"/>
              </w:rPr>
            </w:pPr>
            <w:r>
              <w:rPr>
                <w:sz w:val="16"/>
                <w:szCs w:val="16"/>
              </w:rPr>
              <w:t>RCP2.6</w:t>
            </w:r>
          </w:p>
        </w:tc>
        <w:tc>
          <w:tcPr>
            <w:tcW w:w="0" w:type="auto"/>
            <w:tcBorders>
              <w:bottom w:val="nil"/>
            </w:tcBorders>
            <w:shd w:val="clear" w:color="auto" w:fill="FDE9D9" w:themeFill="accent6" w:themeFillTint="33"/>
          </w:tcPr>
          <w:p w:rsidR="008E5269" w:rsidRPr="008E5269" w:rsidRDefault="00C907E7" w:rsidP="00C907E7">
            <w:pPr>
              <w:jc w:val="center"/>
              <w:rPr>
                <w:sz w:val="16"/>
                <w:szCs w:val="16"/>
              </w:rPr>
            </w:pPr>
            <w:r>
              <w:rPr>
                <w:sz w:val="16"/>
                <w:szCs w:val="16"/>
              </w:rPr>
              <w:t>0,24</w:t>
            </w:r>
          </w:p>
        </w:tc>
        <w:tc>
          <w:tcPr>
            <w:tcW w:w="0" w:type="auto"/>
            <w:tcBorders>
              <w:bottom w:val="nil"/>
            </w:tcBorders>
            <w:shd w:val="clear" w:color="auto" w:fill="FDE9D9" w:themeFill="accent6" w:themeFillTint="33"/>
          </w:tcPr>
          <w:p w:rsidR="008E5269" w:rsidRPr="008E5269" w:rsidRDefault="00C907E7" w:rsidP="00C907E7">
            <w:pPr>
              <w:jc w:val="center"/>
              <w:rPr>
                <w:sz w:val="16"/>
                <w:szCs w:val="16"/>
              </w:rPr>
            </w:pPr>
            <w:r>
              <w:rPr>
                <w:sz w:val="16"/>
                <w:szCs w:val="16"/>
              </w:rPr>
              <w:t>0,17 až 0,32</w:t>
            </w:r>
          </w:p>
        </w:tc>
        <w:tc>
          <w:tcPr>
            <w:tcW w:w="0" w:type="auto"/>
            <w:tcBorders>
              <w:bottom w:val="nil"/>
            </w:tcBorders>
            <w:shd w:val="clear" w:color="auto" w:fill="FDE9D9" w:themeFill="accent6" w:themeFillTint="33"/>
          </w:tcPr>
          <w:p w:rsidR="008E5269" w:rsidRPr="008E5269" w:rsidRDefault="00C907E7" w:rsidP="00C907E7">
            <w:pPr>
              <w:jc w:val="center"/>
              <w:rPr>
                <w:sz w:val="16"/>
                <w:szCs w:val="16"/>
              </w:rPr>
            </w:pPr>
            <w:r>
              <w:rPr>
                <w:sz w:val="16"/>
                <w:szCs w:val="16"/>
              </w:rPr>
              <w:t>0,40</w:t>
            </w:r>
          </w:p>
        </w:tc>
        <w:tc>
          <w:tcPr>
            <w:tcW w:w="0" w:type="auto"/>
            <w:tcBorders>
              <w:bottom w:val="nil"/>
            </w:tcBorders>
            <w:shd w:val="clear" w:color="auto" w:fill="FDE9D9" w:themeFill="accent6" w:themeFillTint="33"/>
          </w:tcPr>
          <w:p w:rsidR="008E5269" w:rsidRPr="008E5269" w:rsidRDefault="00C907E7" w:rsidP="00C907E7">
            <w:pPr>
              <w:jc w:val="center"/>
              <w:rPr>
                <w:sz w:val="16"/>
                <w:szCs w:val="16"/>
              </w:rPr>
            </w:pPr>
            <w:r>
              <w:rPr>
                <w:sz w:val="16"/>
                <w:szCs w:val="16"/>
              </w:rPr>
              <w:t>0,26 až 0,55</w:t>
            </w:r>
          </w:p>
        </w:tc>
      </w:tr>
      <w:tr w:rsidR="008E5269" w:rsidRPr="008E5269" w:rsidTr="00C907E7">
        <w:trPr>
          <w:jc w:val="center"/>
        </w:trPr>
        <w:tc>
          <w:tcPr>
            <w:tcW w:w="0" w:type="auto"/>
            <w:vMerge/>
            <w:shd w:val="clear" w:color="auto" w:fill="B8CCE4" w:themeFill="accent1" w:themeFillTint="66"/>
          </w:tcPr>
          <w:p w:rsidR="008E5269" w:rsidRPr="008E5269" w:rsidRDefault="008E5269" w:rsidP="00C907E7">
            <w:pPr>
              <w:jc w:val="center"/>
              <w:rPr>
                <w:sz w:val="16"/>
                <w:szCs w:val="16"/>
              </w:rPr>
            </w:pPr>
          </w:p>
        </w:tc>
        <w:tc>
          <w:tcPr>
            <w:tcW w:w="0" w:type="auto"/>
            <w:tcBorders>
              <w:top w:val="nil"/>
              <w:bottom w:val="nil"/>
            </w:tcBorders>
          </w:tcPr>
          <w:p w:rsidR="008E5269" w:rsidRPr="008E5269" w:rsidRDefault="00C907E7" w:rsidP="00C907E7">
            <w:pPr>
              <w:jc w:val="center"/>
              <w:rPr>
                <w:sz w:val="16"/>
                <w:szCs w:val="16"/>
              </w:rPr>
            </w:pPr>
            <w:r>
              <w:rPr>
                <w:sz w:val="16"/>
                <w:szCs w:val="16"/>
              </w:rPr>
              <w:t>RCP4.5</w:t>
            </w:r>
          </w:p>
        </w:tc>
        <w:tc>
          <w:tcPr>
            <w:tcW w:w="0" w:type="auto"/>
            <w:tcBorders>
              <w:top w:val="nil"/>
              <w:bottom w:val="nil"/>
            </w:tcBorders>
          </w:tcPr>
          <w:p w:rsidR="008E5269" w:rsidRPr="008E5269" w:rsidRDefault="00C907E7" w:rsidP="00C907E7">
            <w:pPr>
              <w:jc w:val="center"/>
              <w:rPr>
                <w:sz w:val="16"/>
                <w:szCs w:val="16"/>
              </w:rPr>
            </w:pPr>
            <w:r>
              <w:rPr>
                <w:sz w:val="16"/>
                <w:szCs w:val="16"/>
              </w:rPr>
              <w:t>0,26</w:t>
            </w:r>
          </w:p>
        </w:tc>
        <w:tc>
          <w:tcPr>
            <w:tcW w:w="0" w:type="auto"/>
            <w:tcBorders>
              <w:top w:val="nil"/>
              <w:bottom w:val="nil"/>
            </w:tcBorders>
          </w:tcPr>
          <w:p w:rsidR="008E5269" w:rsidRPr="008E5269" w:rsidRDefault="00C907E7" w:rsidP="00C907E7">
            <w:pPr>
              <w:jc w:val="center"/>
              <w:rPr>
                <w:sz w:val="16"/>
                <w:szCs w:val="16"/>
              </w:rPr>
            </w:pPr>
            <w:r>
              <w:rPr>
                <w:sz w:val="16"/>
                <w:szCs w:val="16"/>
              </w:rPr>
              <w:t>0,19 až 0,33</w:t>
            </w:r>
          </w:p>
        </w:tc>
        <w:tc>
          <w:tcPr>
            <w:tcW w:w="0" w:type="auto"/>
            <w:tcBorders>
              <w:top w:val="nil"/>
              <w:bottom w:val="nil"/>
            </w:tcBorders>
          </w:tcPr>
          <w:p w:rsidR="008E5269" w:rsidRPr="008E5269" w:rsidRDefault="00C907E7" w:rsidP="00C907E7">
            <w:pPr>
              <w:jc w:val="center"/>
              <w:rPr>
                <w:sz w:val="16"/>
                <w:szCs w:val="16"/>
              </w:rPr>
            </w:pPr>
            <w:r>
              <w:rPr>
                <w:sz w:val="16"/>
                <w:szCs w:val="16"/>
              </w:rPr>
              <w:t>0,47</w:t>
            </w:r>
          </w:p>
        </w:tc>
        <w:tc>
          <w:tcPr>
            <w:tcW w:w="0" w:type="auto"/>
            <w:tcBorders>
              <w:top w:val="nil"/>
              <w:bottom w:val="nil"/>
            </w:tcBorders>
          </w:tcPr>
          <w:p w:rsidR="008E5269" w:rsidRPr="008E5269" w:rsidRDefault="00C907E7" w:rsidP="00C907E7">
            <w:pPr>
              <w:jc w:val="center"/>
              <w:rPr>
                <w:sz w:val="16"/>
                <w:szCs w:val="16"/>
              </w:rPr>
            </w:pPr>
            <w:r>
              <w:rPr>
                <w:sz w:val="16"/>
                <w:szCs w:val="16"/>
              </w:rPr>
              <w:t>0,32 až 0,63</w:t>
            </w:r>
          </w:p>
        </w:tc>
      </w:tr>
      <w:tr w:rsidR="008E5269" w:rsidRPr="008E5269" w:rsidTr="00C907E7">
        <w:trPr>
          <w:jc w:val="center"/>
        </w:trPr>
        <w:tc>
          <w:tcPr>
            <w:tcW w:w="0" w:type="auto"/>
            <w:vMerge/>
            <w:shd w:val="clear" w:color="auto" w:fill="B8CCE4" w:themeFill="accent1" w:themeFillTint="66"/>
          </w:tcPr>
          <w:p w:rsidR="008E5269" w:rsidRPr="008E5269" w:rsidRDefault="008E5269" w:rsidP="00C907E7">
            <w:pPr>
              <w:jc w:val="center"/>
              <w:rPr>
                <w:sz w:val="16"/>
                <w:szCs w:val="16"/>
              </w:rPr>
            </w:pPr>
          </w:p>
        </w:tc>
        <w:tc>
          <w:tcPr>
            <w:tcW w:w="0" w:type="auto"/>
            <w:tcBorders>
              <w:top w:val="nil"/>
              <w:bottom w:val="nil"/>
            </w:tcBorders>
            <w:shd w:val="clear" w:color="auto" w:fill="FDE9D9" w:themeFill="accent6" w:themeFillTint="33"/>
          </w:tcPr>
          <w:p w:rsidR="008E5269" w:rsidRPr="008E5269" w:rsidRDefault="00C907E7" w:rsidP="00C907E7">
            <w:pPr>
              <w:jc w:val="center"/>
              <w:rPr>
                <w:sz w:val="16"/>
                <w:szCs w:val="16"/>
              </w:rPr>
            </w:pPr>
            <w:r>
              <w:rPr>
                <w:sz w:val="16"/>
                <w:szCs w:val="16"/>
              </w:rPr>
              <w:t>RCP6.0</w:t>
            </w:r>
          </w:p>
        </w:tc>
        <w:tc>
          <w:tcPr>
            <w:tcW w:w="0" w:type="auto"/>
            <w:tcBorders>
              <w:top w:val="nil"/>
              <w:bottom w:val="nil"/>
            </w:tcBorders>
            <w:shd w:val="clear" w:color="auto" w:fill="FDE9D9" w:themeFill="accent6" w:themeFillTint="33"/>
          </w:tcPr>
          <w:p w:rsidR="008E5269" w:rsidRPr="008E5269" w:rsidRDefault="00C907E7" w:rsidP="00C907E7">
            <w:pPr>
              <w:jc w:val="center"/>
              <w:rPr>
                <w:sz w:val="16"/>
                <w:szCs w:val="16"/>
              </w:rPr>
            </w:pPr>
            <w:r>
              <w:rPr>
                <w:sz w:val="16"/>
                <w:szCs w:val="16"/>
              </w:rPr>
              <w:t>0,25</w:t>
            </w:r>
          </w:p>
        </w:tc>
        <w:tc>
          <w:tcPr>
            <w:tcW w:w="0" w:type="auto"/>
            <w:tcBorders>
              <w:top w:val="nil"/>
              <w:bottom w:val="nil"/>
            </w:tcBorders>
            <w:shd w:val="clear" w:color="auto" w:fill="FDE9D9" w:themeFill="accent6" w:themeFillTint="33"/>
          </w:tcPr>
          <w:p w:rsidR="008E5269" w:rsidRPr="008E5269" w:rsidRDefault="00C907E7" w:rsidP="00C907E7">
            <w:pPr>
              <w:jc w:val="center"/>
              <w:rPr>
                <w:sz w:val="16"/>
                <w:szCs w:val="16"/>
              </w:rPr>
            </w:pPr>
            <w:r>
              <w:rPr>
                <w:sz w:val="16"/>
                <w:szCs w:val="16"/>
              </w:rPr>
              <w:t>0,18 až 0,32</w:t>
            </w:r>
          </w:p>
        </w:tc>
        <w:tc>
          <w:tcPr>
            <w:tcW w:w="0" w:type="auto"/>
            <w:tcBorders>
              <w:top w:val="nil"/>
              <w:bottom w:val="nil"/>
            </w:tcBorders>
            <w:shd w:val="clear" w:color="auto" w:fill="FDE9D9" w:themeFill="accent6" w:themeFillTint="33"/>
          </w:tcPr>
          <w:p w:rsidR="008E5269" w:rsidRPr="008E5269" w:rsidRDefault="00C907E7" w:rsidP="00C907E7">
            <w:pPr>
              <w:jc w:val="center"/>
              <w:rPr>
                <w:sz w:val="16"/>
                <w:szCs w:val="16"/>
              </w:rPr>
            </w:pPr>
            <w:r>
              <w:rPr>
                <w:sz w:val="16"/>
                <w:szCs w:val="16"/>
              </w:rPr>
              <w:t>0,48</w:t>
            </w:r>
          </w:p>
        </w:tc>
        <w:tc>
          <w:tcPr>
            <w:tcW w:w="0" w:type="auto"/>
            <w:tcBorders>
              <w:top w:val="nil"/>
              <w:bottom w:val="nil"/>
            </w:tcBorders>
            <w:shd w:val="clear" w:color="auto" w:fill="FDE9D9" w:themeFill="accent6" w:themeFillTint="33"/>
          </w:tcPr>
          <w:p w:rsidR="008E5269" w:rsidRPr="008E5269" w:rsidRDefault="00C907E7" w:rsidP="00C907E7">
            <w:pPr>
              <w:jc w:val="center"/>
              <w:rPr>
                <w:sz w:val="16"/>
                <w:szCs w:val="16"/>
              </w:rPr>
            </w:pPr>
            <w:r>
              <w:rPr>
                <w:sz w:val="16"/>
                <w:szCs w:val="16"/>
              </w:rPr>
              <w:t>0,33 až 0,63</w:t>
            </w:r>
          </w:p>
        </w:tc>
      </w:tr>
      <w:tr w:rsidR="008E5269" w:rsidRPr="008E5269" w:rsidTr="008E5269">
        <w:trPr>
          <w:jc w:val="center"/>
        </w:trPr>
        <w:tc>
          <w:tcPr>
            <w:tcW w:w="0" w:type="auto"/>
            <w:vMerge/>
            <w:shd w:val="clear" w:color="auto" w:fill="B8CCE4" w:themeFill="accent1" w:themeFillTint="66"/>
          </w:tcPr>
          <w:p w:rsidR="008E5269" w:rsidRPr="008E5269" w:rsidRDefault="008E5269" w:rsidP="00C907E7">
            <w:pPr>
              <w:jc w:val="center"/>
              <w:rPr>
                <w:sz w:val="16"/>
                <w:szCs w:val="16"/>
              </w:rPr>
            </w:pPr>
          </w:p>
        </w:tc>
        <w:tc>
          <w:tcPr>
            <w:tcW w:w="0" w:type="auto"/>
            <w:tcBorders>
              <w:top w:val="nil"/>
            </w:tcBorders>
          </w:tcPr>
          <w:p w:rsidR="008E5269" w:rsidRPr="008E5269" w:rsidRDefault="00C907E7" w:rsidP="00C907E7">
            <w:pPr>
              <w:jc w:val="center"/>
              <w:rPr>
                <w:sz w:val="16"/>
                <w:szCs w:val="16"/>
              </w:rPr>
            </w:pPr>
            <w:r>
              <w:rPr>
                <w:sz w:val="16"/>
                <w:szCs w:val="16"/>
              </w:rPr>
              <w:t>RCP8.5</w:t>
            </w:r>
          </w:p>
        </w:tc>
        <w:tc>
          <w:tcPr>
            <w:tcW w:w="0" w:type="auto"/>
            <w:tcBorders>
              <w:top w:val="nil"/>
            </w:tcBorders>
          </w:tcPr>
          <w:p w:rsidR="008E5269" w:rsidRPr="008E5269" w:rsidRDefault="00C907E7" w:rsidP="00C907E7">
            <w:pPr>
              <w:jc w:val="center"/>
              <w:rPr>
                <w:sz w:val="16"/>
                <w:szCs w:val="16"/>
              </w:rPr>
            </w:pPr>
            <w:r>
              <w:rPr>
                <w:sz w:val="16"/>
                <w:szCs w:val="16"/>
              </w:rPr>
              <w:t>0,30</w:t>
            </w:r>
          </w:p>
        </w:tc>
        <w:tc>
          <w:tcPr>
            <w:tcW w:w="0" w:type="auto"/>
            <w:tcBorders>
              <w:top w:val="nil"/>
            </w:tcBorders>
          </w:tcPr>
          <w:p w:rsidR="008E5269" w:rsidRPr="008E5269" w:rsidRDefault="00C907E7" w:rsidP="00C907E7">
            <w:pPr>
              <w:jc w:val="center"/>
              <w:rPr>
                <w:sz w:val="16"/>
                <w:szCs w:val="16"/>
              </w:rPr>
            </w:pPr>
            <w:r>
              <w:rPr>
                <w:sz w:val="16"/>
                <w:szCs w:val="16"/>
              </w:rPr>
              <w:t>0,22 až 0,38</w:t>
            </w:r>
          </w:p>
        </w:tc>
        <w:tc>
          <w:tcPr>
            <w:tcW w:w="0" w:type="auto"/>
            <w:tcBorders>
              <w:top w:val="nil"/>
            </w:tcBorders>
          </w:tcPr>
          <w:p w:rsidR="008E5269" w:rsidRPr="008E5269" w:rsidRDefault="00C907E7" w:rsidP="00C907E7">
            <w:pPr>
              <w:jc w:val="center"/>
              <w:rPr>
                <w:sz w:val="16"/>
                <w:szCs w:val="16"/>
              </w:rPr>
            </w:pPr>
            <w:r>
              <w:rPr>
                <w:sz w:val="16"/>
                <w:szCs w:val="16"/>
              </w:rPr>
              <w:t>0,63</w:t>
            </w:r>
          </w:p>
        </w:tc>
        <w:tc>
          <w:tcPr>
            <w:tcW w:w="0" w:type="auto"/>
            <w:tcBorders>
              <w:top w:val="nil"/>
            </w:tcBorders>
          </w:tcPr>
          <w:p w:rsidR="008E5269" w:rsidRPr="008E5269" w:rsidRDefault="00C907E7" w:rsidP="00C907E7">
            <w:pPr>
              <w:jc w:val="center"/>
              <w:rPr>
                <w:sz w:val="16"/>
                <w:szCs w:val="16"/>
              </w:rPr>
            </w:pPr>
            <w:r>
              <w:rPr>
                <w:sz w:val="16"/>
                <w:szCs w:val="16"/>
              </w:rPr>
              <w:t>0,45 až 0,82</w:t>
            </w:r>
          </w:p>
        </w:tc>
      </w:tr>
    </w:tbl>
    <w:p w:rsidR="00C907E7" w:rsidRPr="00C907E7" w:rsidRDefault="00C907E7" w:rsidP="00AA7928">
      <w:pPr>
        <w:shd w:val="clear" w:color="auto" w:fill="FFFFFF"/>
        <w:spacing w:before="240"/>
        <w:rPr>
          <w:sz w:val="16"/>
          <w:szCs w:val="16"/>
        </w:rPr>
      </w:pPr>
      <w:r w:rsidRPr="00C907E7">
        <w:rPr>
          <w:color w:val="000000"/>
          <w:spacing w:val="-5"/>
          <w:sz w:val="16"/>
          <w:szCs w:val="16"/>
        </w:rPr>
        <w:t>Poznámky:</w:t>
      </w:r>
    </w:p>
    <w:p w:rsidR="00C907E7" w:rsidRDefault="00C907E7" w:rsidP="00AA7928">
      <w:pPr>
        <w:shd w:val="clear" w:color="auto" w:fill="FFFFFF"/>
        <w:tabs>
          <w:tab w:val="left" w:pos="142"/>
        </w:tabs>
        <w:ind w:left="142" w:hanging="142"/>
        <w:jc w:val="both"/>
        <w:rPr>
          <w:color w:val="000000"/>
          <w:sz w:val="16"/>
          <w:szCs w:val="16"/>
        </w:rPr>
      </w:pPr>
      <w:r>
        <w:rPr>
          <w:color w:val="000000"/>
          <w:spacing w:val="-10"/>
          <w:sz w:val="16"/>
          <w:szCs w:val="16"/>
          <w:vertAlign w:val="superscript"/>
        </w:rPr>
        <w:t>a</w:t>
      </w:r>
      <w:r>
        <w:rPr>
          <w:color w:val="000000"/>
          <w:spacing w:val="-10"/>
          <w:sz w:val="16"/>
          <w:szCs w:val="16"/>
          <w:vertAlign w:val="superscript"/>
        </w:rPr>
        <w:tab/>
        <w:t xml:space="preserve"> </w:t>
      </w:r>
      <w:r w:rsidRPr="00C907E7">
        <w:rPr>
          <w:color w:val="000000"/>
          <w:spacing w:val="-10"/>
          <w:sz w:val="16"/>
          <w:szCs w:val="16"/>
        </w:rPr>
        <w:t>Na základě ansámblu modelů CMIP5; odchylky vypočítané vzhledem k</w:t>
      </w:r>
      <w:r>
        <w:rPr>
          <w:color w:val="000000"/>
          <w:spacing w:val="-10"/>
          <w:sz w:val="16"/>
          <w:szCs w:val="16"/>
        </w:rPr>
        <w:t> </w:t>
      </w:r>
      <w:r w:rsidRPr="00C907E7">
        <w:rPr>
          <w:color w:val="000000"/>
          <w:spacing w:val="-10"/>
          <w:sz w:val="16"/>
          <w:szCs w:val="16"/>
        </w:rPr>
        <w:t>období let 1986-2005. S</w:t>
      </w:r>
      <w:r>
        <w:rPr>
          <w:color w:val="000000"/>
          <w:spacing w:val="-10"/>
          <w:sz w:val="16"/>
          <w:szCs w:val="16"/>
        </w:rPr>
        <w:t> </w:t>
      </w:r>
      <w:r w:rsidRPr="00C907E7">
        <w:rPr>
          <w:color w:val="000000"/>
          <w:spacing w:val="-10"/>
          <w:sz w:val="16"/>
          <w:szCs w:val="16"/>
        </w:rPr>
        <w:t>využitím</w:t>
      </w:r>
      <w:r w:rsidRPr="00C907E7">
        <w:rPr>
          <w:color w:val="000000"/>
          <w:spacing w:val="-1"/>
          <w:sz w:val="16"/>
          <w:szCs w:val="16"/>
        </w:rPr>
        <w:t xml:space="preserve"> HadCRUT4 a jeho odhadu neurčitosti</w:t>
      </w:r>
      <w:r w:rsidRPr="00C907E7">
        <w:rPr>
          <w:color w:val="000000"/>
          <w:sz w:val="16"/>
          <w:szCs w:val="16"/>
        </w:rPr>
        <w:t xml:space="preserve"> (5-95% interval spolehlivosti) je pozorované oteplení v</w:t>
      </w:r>
      <w:r>
        <w:rPr>
          <w:color w:val="000000"/>
          <w:sz w:val="16"/>
          <w:szCs w:val="16"/>
        </w:rPr>
        <w:t> </w:t>
      </w:r>
      <w:r w:rsidRPr="00C907E7">
        <w:rPr>
          <w:color w:val="000000"/>
          <w:sz w:val="16"/>
          <w:szCs w:val="16"/>
        </w:rPr>
        <w:t xml:space="preserve">období let </w:t>
      </w:r>
      <w:r w:rsidRPr="00C907E7">
        <w:rPr>
          <w:color w:val="000000"/>
          <w:spacing w:val="1"/>
          <w:sz w:val="16"/>
          <w:szCs w:val="16"/>
        </w:rPr>
        <w:t>1986-2005 0,61 [0,55 až 0,67] °C v</w:t>
      </w:r>
      <w:r>
        <w:rPr>
          <w:color w:val="000000"/>
          <w:spacing w:val="1"/>
          <w:sz w:val="16"/>
          <w:szCs w:val="16"/>
        </w:rPr>
        <w:t> </w:t>
      </w:r>
      <w:r w:rsidRPr="00C907E7">
        <w:rPr>
          <w:color w:val="000000"/>
          <w:spacing w:val="1"/>
          <w:sz w:val="16"/>
          <w:szCs w:val="16"/>
        </w:rPr>
        <w:t>porovnání s</w:t>
      </w:r>
      <w:r>
        <w:rPr>
          <w:color w:val="000000"/>
          <w:spacing w:val="1"/>
          <w:sz w:val="16"/>
          <w:szCs w:val="16"/>
        </w:rPr>
        <w:t> </w:t>
      </w:r>
      <w:r w:rsidRPr="00C907E7">
        <w:rPr>
          <w:color w:val="000000"/>
          <w:spacing w:val="1"/>
          <w:sz w:val="16"/>
          <w:szCs w:val="16"/>
        </w:rPr>
        <w:t>obdobím let 1850-1900 a 0,11 [0,09 až 0,13] °C v</w:t>
      </w:r>
      <w:r>
        <w:rPr>
          <w:color w:val="000000"/>
          <w:spacing w:val="1"/>
          <w:sz w:val="16"/>
          <w:szCs w:val="16"/>
        </w:rPr>
        <w:t> </w:t>
      </w:r>
      <w:r w:rsidRPr="00C907E7">
        <w:rPr>
          <w:color w:val="000000"/>
          <w:spacing w:val="1"/>
          <w:sz w:val="16"/>
          <w:szCs w:val="16"/>
        </w:rPr>
        <w:t>porovnání s</w:t>
      </w:r>
      <w:r>
        <w:rPr>
          <w:color w:val="000000"/>
          <w:spacing w:val="1"/>
          <w:sz w:val="16"/>
          <w:szCs w:val="16"/>
        </w:rPr>
        <w:t> </w:t>
      </w:r>
      <w:r w:rsidRPr="00C907E7">
        <w:rPr>
          <w:color w:val="000000"/>
          <w:spacing w:val="1"/>
          <w:sz w:val="16"/>
          <w:szCs w:val="16"/>
        </w:rPr>
        <w:t>obdobím 1980-1999, referenčním obdobím projekcí hodnotící zprávy AR4. Zde nebyly posuzovány pravděpodobné rozsahy vzhledem k</w:t>
      </w:r>
      <w:r>
        <w:rPr>
          <w:color w:val="000000"/>
          <w:spacing w:val="1"/>
          <w:sz w:val="16"/>
          <w:szCs w:val="16"/>
        </w:rPr>
        <w:t> </w:t>
      </w:r>
      <w:r w:rsidRPr="00C907E7">
        <w:rPr>
          <w:color w:val="000000"/>
          <w:spacing w:val="1"/>
          <w:sz w:val="16"/>
          <w:szCs w:val="16"/>
        </w:rPr>
        <w:t>dřívějším referenčním obdobím, protože v</w:t>
      </w:r>
      <w:r>
        <w:rPr>
          <w:color w:val="000000"/>
          <w:spacing w:val="1"/>
          <w:sz w:val="16"/>
          <w:szCs w:val="16"/>
        </w:rPr>
        <w:t> </w:t>
      </w:r>
      <w:r w:rsidRPr="00C907E7">
        <w:rPr>
          <w:color w:val="000000"/>
          <w:spacing w:val="1"/>
          <w:sz w:val="16"/>
          <w:szCs w:val="16"/>
        </w:rPr>
        <w:t>odborné literatuře nejsou obecně k</w:t>
      </w:r>
      <w:r>
        <w:rPr>
          <w:color w:val="000000"/>
          <w:spacing w:val="1"/>
          <w:sz w:val="16"/>
          <w:szCs w:val="16"/>
        </w:rPr>
        <w:t> </w:t>
      </w:r>
      <w:r w:rsidRPr="00C907E7">
        <w:rPr>
          <w:color w:val="000000"/>
          <w:spacing w:val="1"/>
          <w:sz w:val="16"/>
          <w:szCs w:val="16"/>
        </w:rPr>
        <w:t>dispozici metody na kombinování neurčitostí u modelů a pozorování. Sčítání projektovaných a pozorovaných změn nevysvětluje potenciální systematické chyby modelů v</w:t>
      </w:r>
      <w:r>
        <w:rPr>
          <w:color w:val="000000"/>
          <w:spacing w:val="1"/>
          <w:sz w:val="16"/>
          <w:szCs w:val="16"/>
        </w:rPr>
        <w:t> </w:t>
      </w:r>
      <w:r w:rsidRPr="00C907E7">
        <w:rPr>
          <w:color w:val="000000"/>
          <w:spacing w:val="1"/>
          <w:sz w:val="16"/>
          <w:szCs w:val="16"/>
        </w:rPr>
        <w:t>porovnání s</w:t>
      </w:r>
      <w:r>
        <w:rPr>
          <w:color w:val="000000"/>
          <w:spacing w:val="1"/>
          <w:sz w:val="16"/>
          <w:szCs w:val="16"/>
        </w:rPr>
        <w:t> </w:t>
      </w:r>
      <w:r w:rsidRPr="00C907E7">
        <w:rPr>
          <w:color w:val="000000"/>
          <w:spacing w:val="1"/>
          <w:sz w:val="16"/>
          <w:szCs w:val="16"/>
        </w:rPr>
        <w:t>pozorováním ani interní variabilitu v</w:t>
      </w:r>
      <w:r>
        <w:rPr>
          <w:color w:val="000000"/>
          <w:spacing w:val="1"/>
          <w:sz w:val="16"/>
          <w:szCs w:val="16"/>
        </w:rPr>
        <w:t> </w:t>
      </w:r>
      <w:r w:rsidRPr="00C907E7">
        <w:rPr>
          <w:color w:val="000000"/>
          <w:spacing w:val="1"/>
          <w:sz w:val="16"/>
          <w:szCs w:val="16"/>
        </w:rPr>
        <w:t xml:space="preserve">průběhu napozorovaného referenčního období. </w:t>
      </w:r>
      <w:r w:rsidRPr="00C907E7">
        <w:rPr>
          <w:color w:val="000000"/>
          <w:sz w:val="16"/>
          <w:szCs w:val="16"/>
        </w:rPr>
        <w:t>{2.4; 11.2; tab. 12.2 a 12.3}</w:t>
      </w:r>
    </w:p>
    <w:p w:rsidR="00C907E7" w:rsidRDefault="00C907E7" w:rsidP="00AA7928">
      <w:pPr>
        <w:shd w:val="clear" w:color="auto" w:fill="FFFFFF"/>
        <w:tabs>
          <w:tab w:val="left" w:pos="142"/>
        </w:tabs>
        <w:ind w:left="142" w:hanging="142"/>
        <w:jc w:val="both"/>
        <w:rPr>
          <w:bCs/>
          <w:color w:val="000000"/>
          <w:sz w:val="16"/>
          <w:szCs w:val="16"/>
        </w:rPr>
      </w:pPr>
      <w:r>
        <w:rPr>
          <w:color w:val="000000"/>
          <w:spacing w:val="-10"/>
          <w:sz w:val="16"/>
          <w:szCs w:val="16"/>
          <w:vertAlign w:val="superscript"/>
        </w:rPr>
        <w:t xml:space="preserve">b </w:t>
      </w:r>
      <w:r w:rsidR="00AA7928">
        <w:rPr>
          <w:color w:val="000000"/>
          <w:spacing w:val="-10"/>
          <w:sz w:val="16"/>
          <w:szCs w:val="16"/>
          <w:vertAlign w:val="superscript"/>
        </w:rPr>
        <w:tab/>
      </w:r>
      <w:r w:rsidRPr="00C907E7">
        <w:rPr>
          <w:color w:val="000000"/>
          <w:spacing w:val="-10"/>
          <w:sz w:val="16"/>
          <w:szCs w:val="16"/>
        </w:rPr>
        <w:t>Na základě 21 modelů CMIP5; odchylky vypočítané vzhledem k</w:t>
      </w:r>
      <w:r>
        <w:rPr>
          <w:color w:val="000000"/>
          <w:spacing w:val="-10"/>
          <w:sz w:val="16"/>
          <w:szCs w:val="16"/>
        </w:rPr>
        <w:t> </w:t>
      </w:r>
      <w:r w:rsidRPr="00C907E7">
        <w:rPr>
          <w:color w:val="000000"/>
          <w:spacing w:val="-10"/>
          <w:sz w:val="16"/>
          <w:szCs w:val="16"/>
        </w:rPr>
        <w:t xml:space="preserve">období let 1986-2005. </w:t>
      </w:r>
      <w:r w:rsidRPr="00C907E7">
        <w:rPr>
          <w:color w:val="000000"/>
          <w:sz w:val="16"/>
          <w:szCs w:val="16"/>
        </w:rPr>
        <w:t xml:space="preserve"> Jestliže nebyly k</w:t>
      </w:r>
      <w:r>
        <w:rPr>
          <w:color w:val="000000"/>
          <w:sz w:val="16"/>
          <w:szCs w:val="16"/>
        </w:rPr>
        <w:t> </w:t>
      </w:r>
      <w:r w:rsidRPr="00C907E7">
        <w:rPr>
          <w:color w:val="000000"/>
          <w:sz w:val="16"/>
          <w:szCs w:val="16"/>
        </w:rPr>
        <w:t>dispozici výsledky CMIP5 pro konkrétní AOGCM a scénář, byly odhadnuty, jak je vysvětleno v</w:t>
      </w:r>
      <w:r>
        <w:rPr>
          <w:color w:val="000000"/>
          <w:sz w:val="16"/>
          <w:szCs w:val="16"/>
        </w:rPr>
        <w:t> </w:t>
      </w:r>
      <w:r w:rsidRPr="00C907E7">
        <w:rPr>
          <w:color w:val="000000"/>
          <w:sz w:val="16"/>
          <w:szCs w:val="16"/>
        </w:rPr>
        <w:t>kapitole 13, tab. 13.5. U příspěvků z</w:t>
      </w:r>
      <w:r>
        <w:rPr>
          <w:color w:val="000000"/>
          <w:sz w:val="16"/>
          <w:szCs w:val="16"/>
        </w:rPr>
        <w:t> </w:t>
      </w:r>
      <w:r w:rsidRPr="00C907E7">
        <w:rPr>
          <w:color w:val="000000"/>
          <w:sz w:val="16"/>
          <w:szCs w:val="16"/>
        </w:rPr>
        <w:t>rychlé dynamické změny ledového příkrovu a antropogenní zásoby pevninské vody je uvažována jednotná distribuce pravděpodobnosti a z</w:t>
      </w:r>
      <w:r>
        <w:rPr>
          <w:color w:val="000000"/>
          <w:sz w:val="16"/>
          <w:szCs w:val="16"/>
        </w:rPr>
        <w:t> </w:t>
      </w:r>
      <w:r w:rsidRPr="00C907E7">
        <w:rPr>
          <w:color w:val="000000"/>
          <w:sz w:val="16"/>
          <w:szCs w:val="16"/>
        </w:rPr>
        <w:t xml:space="preserve">velké části nezávislost na scénáři. To však neznamená, že by tyto příspěvky nezávisely na konkrétním scénáři, současná úroveň poznání však neumožňuje kvantitativní posouzení závislosti. </w:t>
      </w:r>
      <w:r w:rsidRPr="00C907E7">
        <w:rPr>
          <w:bCs/>
          <w:color w:val="000000"/>
          <w:sz w:val="16"/>
          <w:szCs w:val="16"/>
        </w:rPr>
        <w:t>Podle současných poznatků by podstatné zvýšení globální střední hladiny oceánu v</w:t>
      </w:r>
      <w:r>
        <w:rPr>
          <w:bCs/>
          <w:color w:val="000000"/>
          <w:sz w:val="16"/>
          <w:szCs w:val="16"/>
        </w:rPr>
        <w:t> </w:t>
      </w:r>
      <w:r w:rsidRPr="00C907E7">
        <w:rPr>
          <w:bCs/>
          <w:color w:val="000000"/>
          <w:sz w:val="16"/>
          <w:szCs w:val="16"/>
        </w:rPr>
        <w:t xml:space="preserve">21. Století nad </w:t>
      </w:r>
      <w:r w:rsidRPr="00C907E7">
        <w:rPr>
          <w:bCs/>
          <w:i/>
          <w:color w:val="000000"/>
          <w:sz w:val="16"/>
          <w:szCs w:val="16"/>
        </w:rPr>
        <w:t>pravděpodobný</w:t>
      </w:r>
      <w:r w:rsidRPr="00C907E7">
        <w:rPr>
          <w:bCs/>
          <w:color w:val="000000"/>
          <w:sz w:val="16"/>
          <w:szCs w:val="16"/>
        </w:rPr>
        <w:t xml:space="preserve"> rozsah mohlo přinést jen zhroucení mořských oblastí antarktického ledového příkrovu, pokud by k</w:t>
      </w:r>
      <w:r>
        <w:rPr>
          <w:bCs/>
          <w:color w:val="000000"/>
          <w:sz w:val="16"/>
          <w:szCs w:val="16"/>
        </w:rPr>
        <w:t> </w:t>
      </w:r>
      <w:r w:rsidRPr="00C907E7">
        <w:rPr>
          <w:bCs/>
          <w:color w:val="000000"/>
          <w:sz w:val="16"/>
          <w:szCs w:val="16"/>
        </w:rPr>
        <w:t xml:space="preserve">tomu došlo. Existuje však </w:t>
      </w:r>
      <w:r w:rsidRPr="00C907E7">
        <w:rPr>
          <w:bCs/>
          <w:i/>
          <w:color w:val="000000"/>
          <w:sz w:val="16"/>
          <w:szCs w:val="16"/>
        </w:rPr>
        <w:t>střední spolehlivost</w:t>
      </w:r>
      <w:r w:rsidRPr="00C907E7">
        <w:rPr>
          <w:bCs/>
          <w:color w:val="000000"/>
          <w:sz w:val="16"/>
          <w:szCs w:val="16"/>
        </w:rPr>
        <w:t>, že by tento dodatečný příspěvek ke zvýšení hladiny oceánu v</w:t>
      </w:r>
      <w:r>
        <w:rPr>
          <w:bCs/>
          <w:color w:val="000000"/>
          <w:sz w:val="16"/>
          <w:szCs w:val="16"/>
        </w:rPr>
        <w:t> </w:t>
      </w:r>
      <w:r w:rsidRPr="00C907E7">
        <w:rPr>
          <w:bCs/>
          <w:color w:val="000000"/>
          <w:sz w:val="16"/>
          <w:szCs w:val="16"/>
        </w:rPr>
        <w:t>21. Století nepřesáhl několik desetin metru.</w:t>
      </w:r>
    </w:p>
    <w:p w:rsidR="00C907E7" w:rsidRPr="00C907E7" w:rsidRDefault="00C907E7" w:rsidP="00AA7928">
      <w:pPr>
        <w:shd w:val="clear" w:color="auto" w:fill="FFFFFF"/>
        <w:tabs>
          <w:tab w:val="left" w:pos="142"/>
        </w:tabs>
        <w:ind w:left="142" w:hanging="142"/>
        <w:jc w:val="both"/>
        <w:rPr>
          <w:color w:val="000000"/>
          <w:spacing w:val="-10"/>
          <w:sz w:val="16"/>
          <w:szCs w:val="16"/>
        </w:rPr>
      </w:pPr>
      <w:r>
        <w:rPr>
          <w:color w:val="000000"/>
          <w:spacing w:val="-1"/>
          <w:sz w:val="16"/>
          <w:szCs w:val="16"/>
          <w:vertAlign w:val="superscript"/>
        </w:rPr>
        <w:t xml:space="preserve">c </w:t>
      </w:r>
      <w:r w:rsidR="00AA7928">
        <w:rPr>
          <w:color w:val="000000"/>
          <w:spacing w:val="-1"/>
          <w:sz w:val="16"/>
          <w:szCs w:val="16"/>
          <w:vertAlign w:val="superscript"/>
        </w:rPr>
        <w:tab/>
      </w:r>
      <w:r w:rsidRPr="00C907E7">
        <w:rPr>
          <w:color w:val="000000"/>
          <w:spacing w:val="-1"/>
          <w:sz w:val="16"/>
          <w:szCs w:val="16"/>
        </w:rPr>
        <w:t>Vypočteno z</w:t>
      </w:r>
      <w:r>
        <w:rPr>
          <w:color w:val="000000"/>
          <w:spacing w:val="-1"/>
          <w:sz w:val="16"/>
          <w:szCs w:val="16"/>
        </w:rPr>
        <w:t> </w:t>
      </w:r>
      <w:r w:rsidRPr="00C907E7">
        <w:rPr>
          <w:color w:val="000000"/>
          <w:spacing w:val="-1"/>
          <w:sz w:val="16"/>
          <w:szCs w:val="16"/>
        </w:rPr>
        <w:t xml:space="preserve">projekcí jako 5-95% rozsah modelů. Tyto rozsahy jsou poté hodnoceny jako </w:t>
      </w:r>
      <w:r w:rsidRPr="00C907E7">
        <w:rPr>
          <w:i/>
          <w:color w:val="000000"/>
          <w:spacing w:val="-1"/>
          <w:sz w:val="16"/>
          <w:szCs w:val="16"/>
        </w:rPr>
        <w:t>pravděpodobné</w:t>
      </w:r>
      <w:r w:rsidRPr="00C907E7">
        <w:rPr>
          <w:color w:val="000000"/>
          <w:spacing w:val="-1"/>
          <w:sz w:val="16"/>
          <w:szCs w:val="16"/>
        </w:rPr>
        <w:t xml:space="preserve"> rozsahy po započtení dodatečných neurčitostí či různých úrovní spolehlivosti modelů. U projekcí změny průměrné globální teploty při povrchu v</w:t>
      </w:r>
      <w:r>
        <w:rPr>
          <w:color w:val="000000"/>
          <w:spacing w:val="-1"/>
          <w:sz w:val="16"/>
          <w:szCs w:val="16"/>
        </w:rPr>
        <w:t> </w:t>
      </w:r>
      <w:r w:rsidRPr="00C907E7">
        <w:rPr>
          <w:color w:val="000000"/>
          <w:spacing w:val="-1"/>
          <w:sz w:val="16"/>
          <w:szCs w:val="16"/>
        </w:rPr>
        <w:t>období let</w:t>
      </w:r>
      <w:r w:rsidRPr="00C907E7">
        <w:rPr>
          <w:color w:val="000000"/>
          <w:sz w:val="16"/>
          <w:szCs w:val="16"/>
        </w:rPr>
        <w:t xml:space="preserve"> 2046-2065 je </w:t>
      </w:r>
      <w:r w:rsidRPr="00C907E7">
        <w:rPr>
          <w:i/>
          <w:color w:val="000000"/>
          <w:sz w:val="16"/>
          <w:szCs w:val="16"/>
        </w:rPr>
        <w:t>spolehlivost střední</w:t>
      </w:r>
      <w:r w:rsidRPr="00C907E7">
        <w:rPr>
          <w:color w:val="000000"/>
          <w:sz w:val="16"/>
          <w:szCs w:val="16"/>
        </w:rPr>
        <w:t>, protože relativní význam interní variability a neurčitost u působení a reakcí jiných než skleníkových plynů, je větší než pro období let</w:t>
      </w:r>
      <w:r w:rsidRPr="00C907E7">
        <w:rPr>
          <w:color w:val="000000"/>
          <w:spacing w:val="1"/>
          <w:sz w:val="16"/>
          <w:szCs w:val="16"/>
        </w:rPr>
        <w:t xml:space="preserve"> 2081-2100. U pravděpodobných rozsahů pro období let 2046-2065 není uvažován možný vliv faktorů vedoucích k</w:t>
      </w:r>
      <w:r>
        <w:rPr>
          <w:color w:val="000000"/>
          <w:spacing w:val="1"/>
          <w:sz w:val="16"/>
          <w:szCs w:val="16"/>
        </w:rPr>
        <w:t> </w:t>
      </w:r>
      <w:r w:rsidRPr="00C907E7">
        <w:rPr>
          <w:color w:val="000000"/>
          <w:spacing w:val="1"/>
          <w:sz w:val="16"/>
          <w:szCs w:val="16"/>
        </w:rPr>
        <w:t>vyhodnocenému rozsahu pro změnu průměrné globální teploty při povrchu v</w:t>
      </w:r>
      <w:r>
        <w:rPr>
          <w:color w:val="000000"/>
          <w:spacing w:val="1"/>
          <w:sz w:val="16"/>
          <w:szCs w:val="16"/>
        </w:rPr>
        <w:t> </w:t>
      </w:r>
      <w:r w:rsidRPr="00C907E7">
        <w:rPr>
          <w:color w:val="000000"/>
          <w:spacing w:val="1"/>
          <w:sz w:val="16"/>
          <w:szCs w:val="16"/>
        </w:rPr>
        <w:t>blízké budoucnosti</w:t>
      </w:r>
      <w:r w:rsidRPr="00C907E7">
        <w:rPr>
          <w:color w:val="000000"/>
          <w:sz w:val="16"/>
          <w:szCs w:val="16"/>
        </w:rPr>
        <w:t xml:space="preserve"> (2016-2035), který je menší než 5-95% rozsah modelů, protože vliv těchto faktorů na dlouhodobější projekce nebyl vzhledem k</w:t>
      </w:r>
      <w:r>
        <w:rPr>
          <w:color w:val="000000"/>
          <w:sz w:val="16"/>
          <w:szCs w:val="16"/>
        </w:rPr>
        <w:t> </w:t>
      </w:r>
      <w:r w:rsidRPr="00C907E7">
        <w:rPr>
          <w:color w:val="000000"/>
          <w:sz w:val="16"/>
          <w:szCs w:val="16"/>
        </w:rPr>
        <w:t>nedostatečnému vědeckému poznání kvantifikován. {11.3}</w:t>
      </w:r>
    </w:p>
    <w:p w:rsidR="00C907E7" w:rsidRPr="00C907E7" w:rsidRDefault="00C907E7" w:rsidP="00AA7928">
      <w:pPr>
        <w:shd w:val="clear" w:color="auto" w:fill="FFFFFF"/>
        <w:tabs>
          <w:tab w:val="left" w:pos="142"/>
        </w:tabs>
        <w:ind w:left="142" w:hanging="142"/>
        <w:jc w:val="both"/>
        <w:rPr>
          <w:color w:val="000000"/>
          <w:spacing w:val="-10"/>
          <w:sz w:val="16"/>
          <w:szCs w:val="16"/>
        </w:rPr>
      </w:pPr>
      <w:r>
        <w:rPr>
          <w:color w:val="000000"/>
          <w:spacing w:val="-1"/>
          <w:sz w:val="16"/>
          <w:szCs w:val="16"/>
          <w:vertAlign w:val="superscript"/>
        </w:rPr>
        <w:t xml:space="preserve">d </w:t>
      </w:r>
      <w:r w:rsidR="00AA7928">
        <w:rPr>
          <w:color w:val="000000"/>
          <w:spacing w:val="-1"/>
          <w:sz w:val="16"/>
          <w:szCs w:val="16"/>
          <w:vertAlign w:val="superscript"/>
        </w:rPr>
        <w:tab/>
      </w:r>
      <w:r w:rsidRPr="00C907E7">
        <w:rPr>
          <w:color w:val="000000"/>
          <w:spacing w:val="-1"/>
          <w:sz w:val="16"/>
          <w:szCs w:val="16"/>
        </w:rPr>
        <w:t xml:space="preserve">Vypočteno z projekcí jako 5-95% rozsah modelů. Tyto rozsahy jsou poté hodnoceny jako </w:t>
      </w:r>
      <w:r w:rsidRPr="00C907E7">
        <w:rPr>
          <w:i/>
          <w:color w:val="000000"/>
          <w:spacing w:val="-1"/>
          <w:sz w:val="16"/>
          <w:szCs w:val="16"/>
        </w:rPr>
        <w:t>pravděpodobné</w:t>
      </w:r>
      <w:r w:rsidRPr="00C907E7">
        <w:rPr>
          <w:color w:val="000000"/>
          <w:spacing w:val="-1"/>
          <w:sz w:val="16"/>
          <w:szCs w:val="16"/>
        </w:rPr>
        <w:t xml:space="preserve"> rozsahy po započtení dodatečných neurčitostí či různých úrovní spolehlivosti modelů. U projekcí zvýšení globální průměrné hladiny oceánu je </w:t>
      </w:r>
      <w:r w:rsidRPr="00C907E7">
        <w:rPr>
          <w:i/>
          <w:color w:val="000000"/>
          <w:spacing w:val="-1"/>
          <w:sz w:val="16"/>
          <w:szCs w:val="16"/>
        </w:rPr>
        <w:t xml:space="preserve">spolehlivost střední </w:t>
      </w:r>
      <w:r w:rsidRPr="00C907E7">
        <w:rPr>
          <w:color w:val="000000"/>
          <w:spacing w:val="-1"/>
          <w:sz w:val="16"/>
          <w:szCs w:val="16"/>
        </w:rPr>
        <w:t xml:space="preserve">pro oba časové horizonty. </w:t>
      </w:r>
    </w:p>
    <w:p w:rsidR="00784095" w:rsidRPr="00784095" w:rsidRDefault="00784095" w:rsidP="00784095">
      <w:pPr>
        <w:pStyle w:val="Bezmezer"/>
        <w:shd w:val="clear" w:color="auto" w:fill="FFFFFF"/>
        <w:jc w:val="both"/>
        <w:rPr>
          <w:color w:val="000000"/>
          <w:spacing w:val="-1"/>
          <w:sz w:val="16"/>
          <w:szCs w:val="16"/>
        </w:rPr>
      </w:pPr>
    </w:p>
    <w:p w:rsidR="00784095" w:rsidRDefault="00784095" w:rsidP="00784095">
      <w:pPr>
        <w:shd w:val="clear" w:color="auto" w:fill="FFFFFF"/>
        <w:ind w:right="79"/>
        <w:jc w:val="both"/>
        <w:rPr>
          <w:sz w:val="16"/>
          <w:szCs w:val="16"/>
        </w:rPr>
      </w:pPr>
    </w:p>
    <w:p w:rsidR="00AA7928" w:rsidRDefault="00AA7928" w:rsidP="00784095">
      <w:pPr>
        <w:shd w:val="clear" w:color="auto" w:fill="FFFFFF"/>
        <w:ind w:right="79"/>
        <w:jc w:val="both"/>
        <w:rPr>
          <w:b/>
          <w:sz w:val="28"/>
          <w:szCs w:val="28"/>
        </w:rPr>
      </w:pPr>
      <w:r w:rsidRPr="00AA7928">
        <w:rPr>
          <w:b/>
          <w:sz w:val="28"/>
          <w:szCs w:val="28"/>
        </w:rPr>
        <w:lastRenderedPageBreak/>
        <w:t>E.3 Atmosféra: kvalita ovzduší</w:t>
      </w:r>
    </w:p>
    <w:p w:rsidR="00AA7928" w:rsidRDefault="00AA7928" w:rsidP="00784095">
      <w:pPr>
        <w:shd w:val="clear" w:color="auto" w:fill="FFFFFF"/>
        <w:ind w:right="79"/>
        <w:jc w:val="both"/>
        <w:rPr>
          <w:b/>
          <w:sz w:val="28"/>
          <w:szCs w:val="28"/>
        </w:rPr>
      </w:pPr>
    </w:p>
    <w:p w:rsidR="00AA7928" w:rsidRDefault="00AA7928" w:rsidP="00AA7928">
      <w:pPr>
        <w:pStyle w:val="Bezmezer"/>
        <w:numPr>
          <w:ilvl w:val="0"/>
          <w:numId w:val="6"/>
        </w:numPr>
        <w:shd w:val="clear" w:color="auto" w:fill="FFFFFF"/>
        <w:ind w:left="442" w:right="79" w:hanging="357"/>
        <w:jc w:val="both"/>
        <w:rPr>
          <w:color w:val="000000"/>
          <w:spacing w:val="-1"/>
        </w:rPr>
      </w:pPr>
      <w:r w:rsidRPr="00AA7928">
        <w:rPr>
          <w:color w:val="000000"/>
          <w:spacing w:val="-1"/>
        </w:rPr>
        <w:t>Rozsah projekcí kvality ovzduší (ozón a PM2.5</w:t>
      </w:r>
      <w:r w:rsidRPr="00AA7928">
        <w:rPr>
          <w:rStyle w:val="Znakapoznpodarou"/>
          <w:color w:val="000000"/>
          <w:spacing w:val="-1"/>
        </w:rPr>
        <w:footnoteReference w:id="17"/>
      </w:r>
      <w:r w:rsidRPr="00AA7928">
        <w:rPr>
          <w:color w:val="000000"/>
          <w:spacing w:val="-1"/>
        </w:rPr>
        <w:t xml:space="preserve"> v ovzduší v blízkosti povrchu) závisí více na emisích (včetně CH</w:t>
      </w:r>
      <w:r w:rsidRPr="00AA7928">
        <w:rPr>
          <w:color w:val="000000"/>
          <w:spacing w:val="-1"/>
          <w:vertAlign w:val="subscript"/>
        </w:rPr>
        <w:t>4</w:t>
      </w:r>
      <w:r w:rsidRPr="00AA7928">
        <w:rPr>
          <w:color w:val="000000"/>
          <w:spacing w:val="-1"/>
        </w:rPr>
        <w:t>) než na fyzikální změně klimatu (</w:t>
      </w:r>
      <w:r w:rsidRPr="00AA7928">
        <w:rPr>
          <w:i/>
          <w:color w:val="000000"/>
          <w:spacing w:val="-1"/>
        </w:rPr>
        <w:t>střední spolehlivost</w:t>
      </w:r>
      <w:r w:rsidRPr="00AA7928">
        <w:rPr>
          <w:color w:val="000000"/>
          <w:spacing w:val="-1"/>
        </w:rPr>
        <w:t>). S </w:t>
      </w:r>
      <w:r w:rsidRPr="00AA7928">
        <w:rPr>
          <w:i/>
          <w:color w:val="000000"/>
          <w:spacing w:val="-1"/>
        </w:rPr>
        <w:t>vysokou pravděpodobností</w:t>
      </w:r>
      <w:r w:rsidRPr="00AA7928">
        <w:rPr>
          <w:color w:val="000000"/>
          <w:spacing w:val="-1"/>
        </w:rPr>
        <w:t xml:space="preserve"> lze tvrdit, že oteplování globálně snižuje přirozené pozadí přízemního ozónu. Tento pokles mohou kompenzovat vysoké koncentrace CH</w:t>
      </w:r>
      <w:r w:rsidRPr="00AA7928">
        <w:rPr>
          <w:color w:val="000000"/>
          <w:spacing w:val="-1"/>
          <w:vertAlign w:val="subscript"/>
        </w:rPr>
        <w:t>4</w:t>
      </w:r>
      <w:r w:rsidRPr="00AA7928">
        <w:rPr>
          <w:color w:val="000000"/>
          <w:spacing w:val="-1"/>
        </w:rPr>
        <w:t xml:space="preserve"> (RCP8.5), které do roku 2100 zvýší přirozené pozadí přízemního ozónu v průměru o 8 ppb (25 % současné úrovně) v porovnání se scénáři s malými změnami CH</w:t>
      </w:r>
      <w:r w:rsidRPr="00AA7928">
        <w:rPr>
          <w:color w:val="000000"/>
          <w:spacing w:val="-1"/>
          <w:vertAlign w:val="subscript"/>
        </w:rPr>
        <w:t>4</w:t>
      </w:r>
      <w:r w:rsidRPr="00AA7928">
        <w:rPr>
          <w:color w:val="000000"/>
          <w:spacing w:val="-1"/>
        </w:rPr>
        <w:t xml:space="preserve"> (RCP4.5, RCP6.0) (</w:t>
      </w:r>
      <w:r w:rsidRPr="00AA7928">
        <w:rPr>
          <w:i/>
          <w:color w:val="000000"/>
          <w:spacing w:val="-1"/>
        </w:rPr>
        <w:t>vysoká spolehlivost</w:t>
      </w:r>
      <w:r w:rsidRPr="00AA7928">
        <w:rPr>
          <w:color w:val="000000"/>
          <w:spacing w:val="-1"/>
        </w:rPr>
        <w:t>). {11.3}</w:t>
      </w:r>
    </w:p>
    <w:p w:rsidR="00AA7928" w:rsidRPr="00AA7928" w:rsidRDefault="00AA7928" w:rsidP="00AA7928">
      <w:pPr>
        <w:pStyle w:val="Bezmezer"/>
        <w:shd w:val="clear" w:color="auto" w:fill="FFFFFF"/>
        <w:ind w:left="85" w:right="79"/>
        <w:jc w:val="both"/>
        <w:rPr>
          <w:color w:val="000000"/>
          <w:spacing w:val="-1"/>
        </w:rPr>
      </w:pPr>
    </w:p>
    <w:p w:rsidR="00AA7928" w:rsidRPr="00AA7928" w:rsidRDefault="00AA7928" w:rsidP="00AA7928">
      <w:pPr>
        <w:pStyle w:val="Bezmezer"/>
        <w:numPr>
          <w:ilvl w:val="0"/>
          <w:numId w:val="6"/>
        </w:numPr>
        <w:shd w:val="clear" w:color="auto" w:fill="FFFFFF"/>
        <w:ind w:left="446" w:right="82"/>
        <w:jc w:val="both"/>
        <w:rPr>
          <w:color w:val="000000"/>
          <w:spacing w:val="-1"/>
        </w:rPr>
      </w:pPr>
      <w:r w:rsidRPr="00AA7928">
        <w:rPr>
          <w:color w:val="000000"/>
          <w:spacing w:val="-1"/>
        </w:rPr>
        <w:t>Výstupy z pozorování a modelování ukazují, že pokud bude vše ostatní stejné, spustí vyšší teploty vzduchu při povrchu ve znečištěných oblastech lokálně zpětnou vazbu v chemickém složení a lokálních emisích, což zvýší špičkové hodnoty ozónu a PM2.5 (</w:t>
      </w:r>
      <w:r w:rsidRPr="00AA7928">
        <w:rPr>
          <w:i/>
          <w:color w:val="000000"/>
          <w:spacing w:val="-1"/>
        </w:rPr>
        <w:t>střední spolehlivost</w:t>
      </w:r>
      <w:r w:rsidRPr="00AA7928">
        <w:rPr>
          <w:color w:val="000000"/>
          <w:spacing w:val="-1"/>
        </w:rPr>
        <w:t>). Co se týká PM2.5, může změna klimatu změnit přirozené zdroje aerosolů i jejich odstraňování srážkami, ale celkový dopad změny klimatu na distribuci PM2.5 nemá přiřazenu žádnou úroveň spolehlivosti. {11.3}</w:t>
      </w:r>
    </w:p>
    <w:p w:rsidR="00AA7928" w:rsidRPr="00AA7928" w:rsidRDefault="00AA7928" w:rsidP="00784095">
      <w:pPr>
        <w:shd w:val="clear" w:color="auto" w:fill="FFFFFF"/>
        <w:ind w:right="79"/>
        <w:jc w:val="both"/>
        <w:rPr>
          <w:b/>
          <w:sz w:val="28"/>
          <w:szCs w:val="28"/>
        </w:rPr>
      </w:pPr>
    </w:p>
    <w:p w:rsidR="00784095" w:rsidRDefault="00AA7928" w:rsidP="00AA7928">
      <w:pPr>
        <w:pStyle w:val="Odstavecseseznamem"/>
        <w:shd w:val="clear" w:color="auto" w:fill="FFFFFF"/>
        <w:tabs>
          <w:tab w:val="left" w:leader="underscore" w:pos="6658"/>
        </w:tabs>
        <w:ind w:left="0"/>
        <w:rPr>
          <w:b/>
          <w:sz w:val="28"/>
          <w:szCs w:val="28"/>
        </w:rPr>
      </w:pPr>
      <w:r w:rsidRPr="00AA7928">
        <w:rPr>
          <w:b/>
          <w:sz w:val="28"/>
          <w:szCs w:val="28"/>
        </w:rPr>
        <w:t>E.4 Oceán</w:t>
      </w:r>
    </w:p>
    <w:p w:rsidR="00AA7928" w:rsidRDefault="00C3040A" w:rsidP="00AA7928">
      <w:pPr>
        <w:pStyle w:val="Odstavecseseznamem"/>
        <w:shd w:val="clear" w:color="auto" w:fill="FFFFFF"/>
        <w:tabs>
          <w:tab w:val="left" w:leader="underscore" w:pos="6658"/>
        </w:tabs>
        <w:ind w:left="0"/>
        <w:rPr>
          <w:b/>
          <w:sz w:val="28"/>
          <w:szCs w:val="28"/>
        </w:rPr>
      </w:pPr>
      <w:r>
        <w:rPr>
          <w:b/>
          <w:noProof/>
          <w:sz w:val="28"/>
          <w:szCs w:val="28"/>
        </w:rPr>
        <mc:AlternateContent>
          <mc:Choice Requires="wps">
            <w:drawing>
              <wp:anchor distT="0" distB="0" distL="114300" distR="114300" simplePos="0" relativeHeight="251684864" behindDoc="0" locked="0" layoutInCell="1" allowOverlap="1">
                <wp:simplePos x="0" y="0"/>
                <wp:positionH relativeFrom="column">
                  <wp:posOffset>-62230</wp:posOffset>
                </wp:positionH>
                <wp:positionV relativeFrom="paragraph">
                  <wp:posOffset>60325</wp:posOffset>
                </wp:positionV>
                <wp:extent cx="6114415" cy="393065"/>
                <wp:effectExtent l="13970" t="12700" r="5715" b="10160"/>
                <wp:wrapNone/>
                <wp:docPr id="16"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4415" cy="393065"/>
                        </a:xfrm>
                        <a:prstGeom prst="rect">
                          <a:avLst/>
                        </a:prstGeom>
                        <a:solidFill>
                          <a:schemeClr val="accent6">
                            <a:lumMod val="40000"/>
                            <a:lumOff val="60000"/>
                          </a:schemeClr>
                        </a:solidFill>
                        <a:ln w="9525">
                          <a:solidFill>
                            <a:schemeClr val="accent6">
                              <a:lumMod val="40000"/>
                              <a:lumOff val="60000"/>
                            </a:schemeClr>
                          </a:solidFill>
                          <a:miter lim="800000"/>
                          <a:headEnd/>
                          <a:tailEnd/>
                        </a:ln>
                      </wps:spPr>
                      <wps:txbx>
                        <w:txbxContent>
                          <w:p w:rsidR="00AA7928" w:rsidRPr="00AA7928" w:rsidRDefault="00AA7928" w:rsidP="00AA7928">
                            <w:pPr>
                              <w:jc w:val="both"/>
                              <w:rPr>
                                <w:b/>
                                <w:color w:val="984806" w:themeColor="accent6" w:themeShade="80"/>
                              </w:rPr>
                            </w:pPr>
                            <w:r w:rsidRPr="00AA7928">
                              <w:rPr>
                                <w:b/>
                                <w:color w:val="984806" w:themeColor="accent6" w:themeShade="80"/>
                              </w:rPr>
                              <w:t>Globální oceán se bude v 21. století i nadále oteplovat. Teplo bude pronikat z povrchu do hlubokých vrstev oceánu a ovlivní cirkulaci vody v oceánu.</w:t>
                            </w:r>
                            <w:r w:rsidRPr="00AA7928">
                              <w:rPr>
                                <w:b/>
                                <w:color w:val="984806" w:themeColor="accent6" w:themeShade="80"/>
                                <w:spacing w:val="-1"/>
                              </w:rPr>
                              <w:t xml:space="preserve"> </w:t>
                            </w:r>
                            <w:r w:rsidRPr="00AA7928">
                              <w:rPr>
                                <w:b/>
                                <w:color w:val="984806" w:themeColor="accent6" w:themeShade="80"/>
                                <w:sz w:val="16"/>
                                <w:szCs w:val="16"/>
                              </w:rPr>
                              <w:t>{11.3, 12.4}</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4" o:spid="_x0000_s1040" type="#_x0000_t202" style="position:absolute;margin-left:-4.9pt;margin-top:4.75pt;width:481.45pt;height:30.95pt;z-index:2516848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" fillcolor="#fbd4b4 [1305]" strokecolor="#fbd4b4 [1305]">
                <v:textbox style="mso-fit-shape-to-text:t">
                  <w:txbxContent>
                    <w:p w:rsidR="00AA7928" w:rsidRPr="00AA7928" w:rsidRDefault="00AA7928" w:rsidP="00AA7928">
                      <w:pPr>
                        <w:jc w:val="both"/>
                        <w:rPr>
                          <w:b/>
                          <w:color w:val="984806" w:themeColor="accent6" w:themeShade="80"/>
                        </w:rPr>
                      </w:pPr>
                      <w:r w:rsidRPr="00AA7928">
                        <w:rPr>
                          <w:b/>
                          <w:color w:val="984806" w:themeColor="accent6" w:themeShade="80"/>
                        </w:rPr>
                        <w:t>Globální oceán se bude v 21. století i nadále oteplovat. Teplo bude pronikat z povrchu do hlubokých vrstev oceánu a ovlivní cirkulaci vody v oceánu.</w:t>
                      </w:r>
                      <w:r w:rsidRPr="00AA7928">
                        <w:rPr>
                          <w:b/>
                          <w:color w:val="984806" w:themeColor="accent6" w:themeShade="80"/>
                          <w:spacing w:val="-1"/>
                        </w:rPr>
                        <w:t xml:space="preserve"> </w:t>
                      </w:r>
                      <w:r w:rsidRPr="00AA7928">
                        <w:rPr>
                          <w:b/>
                          <w:color w:val="984806" w:themeColor="accent6" w:themeShade="80"/>
                          <w:sz w:val="16"/>
                          <w:szCs w:val="16"/>
                        </w:rPr>
                        <w:t>{11.3, 12.4}</w:t>
                      </w:r>
                    </w:p>
                  </w:txbxContent>
                </v:textbox>
              </v:shape>
            </w:pict>
          </mc:Fallback>
        </mc:AlternateContent>
      </w:r>
    </w:p>
    <w:p w:rsidR="00AA7928" w:rsidRDefault="00AA7928" w:rsidP="00AA7928">
      <w:pPr>
        <w:pStyle w:val="Odstavecseseznamem"/>
        <w:shd w:val="clear" w:color="auto" w:fill="FFFFFF"/>
        <w:tabs>
          <w:tab w:val="left" w:leader="underscore" w:pos="6658"/>
        </w:tabs>
        <w:ind w:left="0"/>
        <w:rPr>
          <w:b/>
          <w:sz w:val="28"/>
          <w:szCs w:val="28"/>
        </w:rPr>
      </w:pPr>
    </w:p>
    <w:p w:rsidR="00AA7928" w:rsidRDefault="00AA7928" w:rsidP="00AA7928">
      <w:pPr>
        <w:pStyle w:val="Odstavecseseznamem"/>
        <w:shd w:val="clear" w:color="auto" w:fill="FFFFFF"/>
        <w:tabs>
          <w:tab w:val="left" w:leader="underscore" w:pos="6658"/>
        </w:tabs>
        <w:ind w:left="0"/>
        <w:rPr>
          <w:b/>
          <w:sz w:val="28"/>
          <w:szCs w:val="28"/>
        </w:rPr>
      </w:pPr>
    </w:p>
    <w:p w:rsidR="00AA7928" w:rsidRDefault="00AA7928" w:rsidP="00AA7928">
      <w:pPr>
        <w:pStyle w:val="Bezmezer"/>
        <w:numPr>
          <w:ilvl w:val="0"/>
          <w:numId w:val="6"/>
        </w:numPr>
        <w:shd w:val="clear" w:color="auto" w:fill="FFFFFF"/>
        <w:ind w:left="442" w:right="79" w:hanging="357"/>
        <w:jc w:val="both"/>
        <w:rPr>
          <w:color w:val="000000"/>
          <w:spacing w:val="-1"/>
        </w:rPr>
      </w:pPr>
      <w:r w:rsidRPr="00AA7928">
        <w:rPr>
          <w:color w:val="000000"/>
          <w:spacing w:val="-1"/>
        </w:rPr>
        <w:t>Nejsilnější oteplování oceánu se předpokládá v povrchové vrstvě v tropických oblastech a v subtropických oblastech severní polokoule. Ve větší hloubce bude oteplení výraznější v Jižním ledovém oceánu (</w:t>
      </w:r>
      <w:r w:rsidRPr="00AA7928">
        <w:rPr>
          <w:i/>
          <w:color w:val="000000"/>
          <w:spacing w:val="-1"/>
        </w:rPr>
        <w:t>vysoká spolehlivost)</w:t>
      </w:r>
      <w:r w:rsidRPr="00AA7928">
        <w:rPr>
          <w:color w:val="000000"/>
          <w:spacing w:val="-1"/>
        </w:rPr>
        <w:t>. Nejlepší odhady oteplení oceánu v horních 100 metrech jsou přibližně 0,6°C (RCP2.6) až 2,0°C (RCP8.5) a přibližně 0,3°C (RCP2.6) až 0,6°C (RCP8.5) v hloubce zhruba 1000 m do konce 21. století. {12.4, 14.3}</w:t>
      </w:r>
    </w:p>
    <w:p w:rsidR="00AA7928" w:rsidRPr="00AA7928" w:rsidRDefault="00AA7928" w:rsidP="00AA7928">
      <w:pPr>
        <w:pStyle w:val="Bezmezer"/>
        <w:shd w:val="clear" w:color="auto" w:fill="FFFFFF"/>
        <w:ind w:left="85" w:right="79"/>
        <w:jc w:val="both"/>
        <w:rPr>
          <w:color w:val="000000"/>
          <w:spacing w:val="-1"/>
        </w:rPr>
      </w:pPr>
    </w:p>
    <w:p w:rsidR="00AA7928" w:rsidRDefault="00AA7928" w:rsidP="00AA7928">
      <w:pPr>
        <w:pStyle w:val="Bezmezer"/>
        <w:numPr>
          <w:ilvl w:val="0"/>
          <w:numId w:val="6"/>
        </w:numPr>
        <w:shd w:val="clear" w:color="auto" w:fill="FFFFFF"/>
        <w:ind w:left="446" w:right="82"/>
        <w:jc w:val="both"/>
        <w:rPr>
          <w:color w:val="000000"/>
          <w:spacing w:val="-1"/>
        </w:rPr>
      </w:pPr>
      <w:r w:rsidRPr="00AA7928">
        <w:rPr>
          <w:color w:val="000000"/>
          <w:spacing w:val="-1"/>
        </w:rPr>
        <w:t xml:space="preserve">Je </w:t>
      </w:r>
      <w:r w:rsidRPr="00AA7928">
        <w:rPr>
          <w:i/>
          <w:color w:val="000000"/>
          <w:spacing w:val="-1"/>
        </w:rPr>
        <w:t>velmi pravděpodobné</w:t>
      </w:r>
      <w:r w:rsidRPr="00AA7928">
        <w:rPr>
          <w:color w:val="000000"/>
          <w:spacing w:val="-1"/>
        </w:rPr>
        <w:t xml:space="preserve">, že </w:t>
      </w:r>
      <w:r w:rsidRPr="00AA7928">
        <w:rPr>
          <w:bCs/>
          <w:color w:val="000000"/>
        </w:rPr>
        <w:t>Atlantická meridionální cirkulace (AMOC) v 21. století zeslábne. Nejlepší odhady a rozsah</w:t>
      </w:r>
      <w:r w:rsidRPr="00AA7928">
        <w:rPr>
          <w:rStyle w:val="Znakapoznpodarou"/>
          <w:bCs/>
          <w:color w:val="000000"/>
        </w:rPr>
        <w:footnoteReference w:id="18"/>
      </w:r>
      <w:r w:rsidRPr="00AA7928">
        <w:rPr>
          <w:bCs/>
          <w:color w:val="000000"/>
        </w:rPr>
        <w:t xml:space="preserve"> snížení podle CMIP5 činí </w:t>
      </w:r>
      <w:r w:rsidRPr="00AA7928">
        <w:rPr>
          <w:color w:val="000000"/>
          <w:spacing w:val="-1"/>
        </w:rPr>
        <w:t xml:space="preserve">11 % (1 až 24 %) dle RCP2.6 a 34 % (12 až 54 %) dle RCP8.5. Je </w:t>
      </w:r>
      <w:r w:rsidRPr="00AA7928">
        <w:rPr>
          <w:i/>
          <w:color w:val="000000"/>
          <w:spacing w:val="-1"/>
        </w:rPr>
        <w:t>pravděpodobné</w:t>
      </w:r>
      <w:r w:rsidRPr="00AA7928">
        <w:rPr>
          <w:color w:val="000000"/>
          <w:spacing w:val="-1"/>
        </w:rPr>
        <w:t>, že do roku 2050 dojde k určitému snížení AMOC, ale mohou se vyskytnout desetiletí, kdy se AMOC zvýší v důsledku velké vnitřní variability. {11.3, 12.4}</w:t>
      </w:r>
    </w:p>
    <w:p w:rsidR="00AA7928" w:rsidRPr="00AA7928" w:rsidRDefault="00AA7928" w:rsidP="00AA7928">
      <w:pPr>
        <w:pStyle w:val="Bezmezer"/>
        <w:shd w:val="clear" w:color="auto" w:fill="FFFFFF"/>
        <w:ind w:right="82"/>
        <w:jc w:val="both"/>
        <w:rPr>
          <w:color w:val="000000"/>
          <w:spacing w:val="-1"/>
        </w:rPr>
      </w:pPr>
    </w:p>
    <w:p w:rsidR="00AA7928" w:rsidRDefault="00AA7928" w:rsidP="00AA7928">
      <w:pPr>
        <w:pStyle w:val="Bezmezer"/>
        <w:numPr>
          <w:ilvl w:val="0"/>
          <w:numId w:val="6"/>
        </w:numPr>
        <w:shd w:val="clear" w:color="auto" w:fill="FFFFFF"/>
        <w:ind w:left="446" w:right="82"/>
        <w:jc w:val="both"/>
        <w:rPr>
          <w:color w:val="000000"/>
          <w:spacing w:val="-1"/>
        </w:rPr>
      </w:pPr>
      <w:r w:rsidRPr="00AA7928">
        <w:rPr>
          <w:color w:val="000000"/>
          <w:spacing w:val="-1"/>
        </w:rPr>
        <w:t xml:space="preserve">Podle zvažovaných scénářů je </w:t>
      </w:r>
      <w:r w:rsidRPr="00AA7928">
        <w:rPr>
          <w:i/>
          <w:color w:val="000000"/>
          <w:spacing w:val="-1"/>
        </w:rPr>
        <w:t>velmi nepravděpodobné</w:t>
      </w:r>
      <w:r w:rsidRPr="00AA7928">
        <w:rPr>
          <w:color w:val="000000"/>
          <w:spacing w:val="-1"/>
        </w:rPr>
        <w:t xml:space="preserve">, že by u </w:t>
      </w:r>
      <w:r w:rsidRPr="00AA7928">
        <w:rPr>
          <w:bCs/>
          <w:color w:val="000000"/>
        </w:rPr>
        <w:t xml:space="preserve">Atlantické meridionální cirkulace (AMOC) došlo v 21. století k náhlé změně či kolapsu. Hodnocení vývoje AMOC v horizontu delším, než je 21. století, vykazuje </w:t>
      </w:r>
      <w:r w:rsidRPr="00AA7928">
        <w:rPr>
          <w:bCs/>
          <w:i/>
          <w:color w:val="000000"/>
        </w:rPr>
        <w:t>nízkou spolehlivost</w:t>
      </w:r>
      <w:r w:rsidRPr="00AA7928">
        <w:rPr>
          <w:bCs/>
          <w:color w:val="000000"/>
        </w:rPr>
        <w:t>, protože máme k dispozici jen malý počet analýz a výsledky nejsou jednoznačné</w:t>
      </w:r>
      <w:r w:rsidRPr="00AA7928">
        <w:rPr>
          <w:color w:val="000000"/>
          <w:spacing w:val="-1"/>
        </w:rPr>
        <w:t>. Nelze však vyloučit kolaps po 21. století, pokud dojde k velkému trvajícímu oteplení. {12.5}</w:t>
      </w:r>
    </w:p>
    <w:p w:rsidR="00AA7928" w:rsidRDefault="00AA7928" w:rsidP="00AA7928">
      <w:pPr>
        <w:pStyle w:val="Odstavecseseznamem"/>
        <w:rPr>
          <w:color w:val="000000"/>
          <w:spacing w:val="-1"/>
        </w:rPr>
      </w:pPr>
    </w:p>
    <w:p w:rsidR="00AA7928" w:rsidRDefault="00AA7928" w:rsidP="00AA7928">
      <w:pPr>
        <w:pStyle w:val="Bezmezer"/>
        <w:shd w:val="clear" w:color="auto" w:fill="FFFFFF"/>
        <w:ind w:right="82"/>
        <w:jc w:val="both"/>
        <w:rPr>
          <w:color w:val="000000"/>
          <w:spacing w:val="-1"/>
        </w:rPr>
      </w:pPr>
    </w:p>
    <w:p w:rsidR="00AA7928" w:rsidRPr="00AA7928" w:rsidRDefault="00AA7928" w:rsidP="00AA7928">
      <w:pPr>
        <w:pStyle w:val="Bezmezer"/>
        <w:shd w:val="clear" w:color="auto" w:fill="FFFFFF"/>
        <w:ind w:right="82"/>
        <w:jc w:val="both"/>
        <w:rPr>
          <w:b/>
          <w:color w:val="000000"/>
          <w:spacing w:val="-1"/>
          <w:sz w:val="28"/>
          <w:szCs w:val="28"/>
        </w:rPr>
      </w:pPr>
      <w:r w:rsidRPr="00AA7928">
        <w:rPr>
          <w:b/>
          <w:color w:val="000000"/>
          <w:spacing w:val="-1"/>
          <w:sz w:val="28"/>
          <w:szCs w:val="28"/>
        </w:rPr>
        <w:t>E.5 Kryosféra</w:t>
      </w:r>
    </w:p>
    <w:p w:rsidR="00AA7928" w:rsidRDefault="00C3040A" w:rsidP="00AA7928">
      <w:pPr>
        <w:pStyle w:val="Odstavecseseznamem"/>
        <w:shd w:val="clear" w:color="auto" w:fill="FFFFFF"/>
        <w:tabs>
          <w:tab w:val="left" w:leader="underscore" w:pos="6658"/>
        </w:tabs>
        <w:ind w:left="0"/>
        <w:rPr>
          <w:b/>
          <w:sz w:val="28"/>
          <w:szCs w:val="28"/>
        </w:rPr>
      </w:pPr>
      <w:r>
        <w:rPr>
          <w:b/>
          <w:noProof/>
          <w:sz w:val="28"/>
          <w:szCs w:val="28"/>
        </w:rPr>
        <mc:AlternateContent>
          <mc:Choice Requires="wps">
            <w:drawing>
              <wp:anchor distT="0" distB="0" distL="114300" distR="114300" simplePos="0" relativeHeight="251685888" behindDoc="0" locked="0" layoutInCell="1" allowOverlap="1">
                <wp:simplePos x="0" y="0"/>
                <wp:positionH relativeFrom="column">
                  <wp:posOffset>-57150</wp:posOffset>
                </wp:positionH>
                <wp:positionV relativeFrom="paragraph">
                  <wp:posOffset>45085</wp:posOffset>
                </wp:positionV>
                <wp:extent cx="6151880" cy="539115"/>
                <wp:effectExtent l="9525" t="6985" r="10795" b="13335"/>
                <wp:wrapNone/>
                <wp:docPr id="11"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1880" cy="539115"/>
                        </a:xfrm>
                        <a:prstGeom prst="rect">
                          <a:avLst/>
                        </a:prstGeom>
                        <a:solidFill>
                          <a:schemeClr val="accent6">
                            <a:lumMod val="40000"/>
                            <a:lumOff val="60000"/>
                          </a:schemeClr>
                        </a:solidFill>
                        <a:ln w="9525">
                          <a:solidFill>
                            <a:schemeClr val="accent6">
                              <a:lumMod val="40000"/>
                              <a:lumOff val="60000"/>
                            </a:schemeClr>
                          </a:solidFill>
                          <a:miter lim="800000"/>
                          <a:headEnd/>
                          <a:tailEnd/>
                        </a:ln>
                      </wps:spPr>
                      <wps:txbx>
                        <w:txbxContent>
                          <w:p w:rsidR="00AA7928" w:rsidRPr="00AA7928" w:rsidRDefault="00AA7928" w:rsidP="00AA7928">
                            <w:pPr>
                              <w:jc w:val="both"/>
                              <w:rPr>
                                <w:b/>
                                <w:color w:val="984806" w:themeColor="accent6" w:themeShade="80"/>
                                <w:spacing w:val="-6"/>
                                <w:sz w:val="16"/>
                                <w:szCs w:val="16"/>
                              </w:rPr>
                            </w:pPr>
                            <w:r w:rsidRPr="00AA7928">
                              <w:rPr>
                                <w:b/>
                                <w:color w:val="984806" w:themeColor="accent6" w:themeShade="80"/>
                              </w:rPr>
                              <w:t xml:space="preserve">Je </w:t>
                            </w:r>
                            <w:r w:rsidRPr="00AA7928">
                              <w:rPr>
                                <w:b/>
                                <w:i/>
                                <w:color w:val="984806" w:themeColor="accent6" w:themeShade="80"/>
                              </w:rPr>
                              <w:t>velmi pravděpodobné</w:t>
                            </w:r>
                            <w:r w:rsidRPr="00AA7928">
                              <w:rPr>
                                <w:b/>
                                <w:color w:val="984806" w:themeColor="accent6" w:themeShade="80"/>
                              </w:rPr>
                              <w:t>, že se v 21. století bude nadále zmenšovat rozsah i tloušťka arktického mořského ledu a že se jarní sněhová pokrývka na severní polokouli bude zmenšovat s tím, jak porostou průměrné globální teploty při povrchu.</w:t>
                            </w:r>
                            <w:r w:rsidRPr="00AA7928">
                              <w:rPr>
                                <w:b/>
                                <w:color w:val="984806" w:themeColor="accent6" w:themeShade="80"/>
                                <w:spacing w:val="-1"/>
                              </w:rPr>
                              <w:t xml:space="preserve"> Globální objem ledovců bude dále klesat </w:t>
                            </w:r>
                            <w:r w:rsidRPr="00AA7928">
                              <w:rPr>
                                <w:b/>
                                <w:color w:val="984806" w:themeColor="accent6" w:themeShade="80"/>
                                <w:sz w:val="16"/>
                                <w:szCs w:val="16"/>
                              </w:rPr>
                              <w:t>{12.4, 13.4}</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5" o:spid="_x0000_s1041" type="#_x0000_t202" style="position:absolute;margin-left:-4.5pt;margin-top:3.55pt;width:484.4pt;height:42.45pt;z-index:2516858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" fillcolor="#fbd4b4 [1305]" strokecolor="#fbd4b4 [1305]">
                <v:textbox style="mso-fit-shape-to-text:t">
                  <w:txbxContent>
                    <w:p w:rsidR="00AA7928" w:rsidRPr="00AA7928" w:rsidRDefault="00AA7928" w:rsidP="00AA7928">
                      <w:pPr>
                        <w:jc w:val="both"/>
                        <w:rPr>
                          <w:b/>
                          <w:color w:val="984806" w:themeColor="accent6" w:themeShade="80"/>
                          <w:spacing w:val="-6"/>
                          <w:sz w:val="16"/>
                          <w:szCs w:val="16"/>
                        </w:rPr>
                      </w:pPr>
                      <w:r w:rsidRPr="00AA7928">
                        <w:rPr>
                          <w:b/>
                          <w:color w:val="984806" w:themeColor="accent6" w:themeShade="80"/>
                        </w:rPr>
                        <w:t xml:space="preserve">Je </w:t>
                      </w:r>
                      <w:r w:rsidRPr="00AA7928">
                        <w:rPr>
                          <w:b/>
                          <w:i/>
                          <w:color w:val="984806" w:themeColor="accent6" w:themeShade="80"/>
                        </w:rPr>
                        <w:t>velmi pravděpodobné</w:t>
                      </w:r>
                      <w:r w:rsidRPr="00AA7928">
                        <w:rPr>
                          <w:b/>
                          <w:color w:val="984806" w:themeColor="accent6" w:themeShade="80"/>
                        </w:rPr>
                        <w:t>, že se v 21. století bude nadále zmenšovat rozsah i tloušťka arktického mořského ledu a že se jarní sněhová pokrývka na severní polokouli bude zmenšovat s tím, jak porostou průměrné globální teploty při povrchu.</w:t>
                      </w:r>
                      <w:r w:rsidRPr="00AA7928">
                        <w:rPr>
                          <w:b/>
                          <w:color w:val="984806" w:themeColor="accent6" w:themeShade="80"/>
                          <w:spacing w:val="-1"/>
                        </w:rPr>
                        <w:t xml:space="preserve"> Globální objem ledovců bude dále klesat </w:t>
                      </w:r>
                      <w:r w:rsidRPr="00AA7928">
                        <w:rPr>
                          <w:b/>
                          <w:color w:val="984806" w:themeColor="accent6" w:themeShade="80"/>
                          <w:sz w:val="16"/>
                          <w:szCs w:val="16"/>
                        </w:rPr>
                        <w:t>{12.4, 13.4}</w:t>
                      </w:r>
                    </w:p>
                  </w:txbxContent>
                </v:textbox>
              </v:shape>
            </w:pict>
          </mc:Fallback>
        </mc:AlternateContent>
      </w:r>
    </w:p>
    <w:p w:rsidR="00AA7928" w:rsidRDefault="00AA7928" w:rsidP="00AA7928">
      <w:pPr>
        <w:pStyle w:val="Odstavecseseznamem"/>
        <w:shd w:val="clear" w:color="auto" w:fill="FFFFFF"/>
        <w:tabs>
          <w:tab w:val="left" w:leader="underscore" w:pos="6658"/>
        </w:tabs>
        <w:ind w:left="0"/>
        <w:rPr>
          <w:b/>
          <w:sz w:val="28"/>
          <w:szCs w:val="28"/>
        </w:rPr>
      </w:pPr>
    </w:p>
    <w:p w:rsidR="00AA7928" w:rsidRPr="00AA7928" w:rsidRDefault="00AA7928" w:rsidP="00AA7928">
      <w:pPr>
        <w:pStyle w:val="Odstavecseseznamem"/>
        <w:shd w:val="clear" w:color="auto" w:fill="FFFFFF"/>
        <w:tabs>
          <w:tab w:val="left" w:leader="underscore" w:pos="6658"/>
        </w:tabs>
        <w:ind w:left="0"/>
        <w:rPr>
          <w:b/>
          <w:sz w:val="28"/>
          <w:szCs w:val="28"/>
        </w:rPr>
      </w:pPr>
    </w:p>
    <w:p w:rsidR="00AA7928" w:rsidRDefault="00AA7928" w:rsidP="00AA7928">
      <w:pPr>
        <w:pStyle w:val="Bezmezer"/>
        <w:numPr>
          <w:ilvl w:val="0"/>
          <w:numId w:val="6"/>
        </w:numPr>
        <w:shd w:val="clear" w:color="auto" w:fill="FFFFFF"/>
        <w:ind w:left="442" w:right="79" w:hanging="357"/>
        <w:jc w:val="both"/>
        <w:rPr>
          <w:bCs/>
          <w:color w:val="000000"/>
        </w:rPr>
      </w:pPr>
      <w:r w:rsidRPr="00AA7928">
        <w:rPr>
          <w:bCs/>
          <w:color w:val="000000"/>
        </w:rPr>
        <w:t>Podle multimodelových průměrů lze do konce 21. století očekávat celoroční zmenšení rozsahu arktického mořského ledu. Toto zmenšení bude v rozsahu od 43 % podle RCP2.6 až po 94 % podle RCP8.5 v září a od 8 % podle RCP2.6 až po 34 % podle RCP8.5 v únoru (</w:t>
      </w:r>
      <w:r w:rsidRPr="00AA7928">
        <w:rPr>
          <w:bCs/>
          <w:i/>
          <w:color w:val="000000"/>
        </w:rPr>
        <w:t>střední spolehlivost</w:t>
      </w:r>
      <w:r w:rsidRPr="00AA7928">
        <w:rPr>
          <w:bCs/>
          <w:color w:val="000000"/>
        </w:rPr>
        <w:t>)</w:t>
      </w:r>
      <w:r w:rsidRPr="00AA7928">
        <w:rPr>
          <w:bCs/>
          <w:i/>
          <w:color w:val="000000"/>
        </w:rPr>
        <w:t xml:space="preserve"> </w:t>
      </w:r>
      <w:r w:rsidRPr="00AA7928">
        <w:rPr>
          <w:bCs/>
          <w:color w:val="000000"/>
        </w:rPr>
        <w:t>(viz obr. SPM.7 a SPM.8). {12.4}</w:t>
      </w:r>
    </w:p>
    <w:p w:rsidR="00AA7928" w:rsidRPr="00AA7928" w:rsidRDefault="00AA7928" w:rsidP="00AA7928">
      <w:pPr>
        <w:pStyle w:val="Bezmezer"/>
        <w:shd w:val="clear" w:color="auto" w:fill="FFFFFF"/>
        <w:ind w:left="85" w:right="79"/>
        <w:jc w:val="both"/>
        <w:rPr>
          <w:bCs/>
          <w:color w:val="000000"/>
        </w:rPr>
      </w:pPr>
    </w:p>
    <w:p w:rsidR="00AA7928" w:rsidRPr="00AA7928" w:rsidRDefault="00AA7928" w:rsidP="00AA7928">
      <w:pPr>
        <w:pStyle w:val="Bezmezer"/>
        <w:numPr>
          <w:ilvl w:val="0"/>
          <w:numId w:val="6"/>
        </w:numPr>
        <w:shd w:val="clear" w:color="auto" w:fill="FFFFFF"/>
        <w:ind w:left="442" w:right="79" w:hanging="357"/>
        <w:jc w:val="both"/>
        <w:rPr>
          <w:bCs/>
          <w:color w:val="000000"/>
        </w:rPr>
      </w:pPr>
      <w:r w:rsidRPr="00AA7928">
        <w:rPr>
          <w:bCs/>
          <w:color w:val="000000"/>
        </w:rPr>
        <w:t>Podle odhadů podmnožiny modelů, které nejlépe reprodukují klimatologické průměry a trend rozsahu arktického mořského ledu v období let 1979-2012 , lze podle RCP8.5 očekávat, že do poloviny století bude Severní ledový oceán</w:t>
      </w:r>
      <w:r w:rsidRPr="00AA7928">
        <w:rPr>
          <w:rStyle w:val="Znakapoznpodarou"/>
          <w:bCs/>
          <w:color w:val="000000"/>
        </w:rPr>
        <w:footnoteReference w:id="19"/>
      </w:r>
      <w:r w:rsidRPr="00AA7928">
        <w:rPr>
          <w:bCs/>
          <w:color w:val="000000"/>
        </w:rPr>
        <w:t xml:space="preserve"> v září </w:t>
      </w:r>
      <w:r w:rsidRPr="00AA7928">
        <w:rPr>
          <w:bCs/>
          <w:i/>
          <w:color w:val="000000"/>
        </w:rPr>
        <w:t>pravděpodobně</w:t>
      </w:r>
      <w:r w:rsidRPr="00AA7928">
        <w:rPr>
          <w:bCs/>
          <w:color w:val="000000"/>
        </w:rPr>
        <w:t xml:space="preserve"> téměř bez ledu (</w:t>
      </w:r>
      <w:r w:rsidRPr="00AA7928">
        <w:rPr>
          <w:bCs/>
          <w:i/>
          <w:color w:val="000000"/>
        </w:rPr>
        <w:t>střední spolehlivost</w:t>
      </w:r>
      <w:r w:rsidRPr="00AA7928">
        <w:rPr>
          <w:bCs/>
          <w:color w:val="000000"/>
        </w:rPr>
        <w:t>) (viz obr. SPM.7 a SPM.8). Ostatní scénáře nevypovídají s dostatečnou pravděpodobností, kdy může být Severní ledový oceán v 21. století v září téměř bez ledu. {11.3, 12.4, 12.5}</w:t>
      </w:r>
    </w:p>
    <w:p w:rsidR="00AA7928" w:rsidRDefault="00AA7928" w:rsidP="00AA7928">
      <w:pPr>
        <w:pStyle w:val="Bezmezer"/>
        <w:numPr>
          <w:ilvl w:val="0"/>
          <w:numId w:val="6"/>
        </w:numPr>
        <w:shd w:val="clear" w:color="auto" w:fill="FFFFFF"/>
        <w:ind w:left="442" w:right="79" w:hanging="357"/>
        <w:jc w:val="both"/>
        <w:rPr>
          <w:bCs/>
          <w:color w:val="000000"/>
        </w:rPr>
      </w:pPr>
      <w:r w:rsidRPr="00AA7928">
        <w:rPr>
          <w:bCs/>
          <w:color w:val="000000"/>
        </w:rPr>
        <w:lastRenderedPageBreak/>
        <w:t xml:space="preserve">Projekce poklesu rozsahu a objemu mořského ledu v Jižním ledovém oceánu na konci 21. století se vzestupem průměrné globální teploty při povrchu se vyznačují </w:t>
      </w:r>
      <w:r w:rsidRPr="00AA7928">
        <w:rPr>
          <w:bCs/>
          <w:i/>
          <w:color w:val="000000"/>
        </w:rPr>
        <w:t>nízkou spolehlivostí</w:t>
      </w:r>
      <w:r w:rsidRPr="00AA7928">
        <w:rPr>
          <w:bCs/>
          <w:color w:val="000000"/>
        </w:rPr>
        <w:t>. {12.4}</w:t>
      </w:r>
    </w:p>
    <w:p w:rsidR="00AA7928" w:rsidRPr="00AA7928" w:rsidRDefault="00AA7928" w:rsidP="00AA7928">
      <w:pPr>
        <w:pStyle w:val="Bezmezer"/>
        <w:shd w:val="clear" w:color="auto" w:fill="FFFFFF"/>
        <w:ind w:left="85" w:right="79"/>
        <w:jc w:val="both"/>
        <w:rPr>
          <w:bCs/>
          <w:color w:val="000000"/>
        </w:rPr>
      </w:pPr>
    </w:p>
    <w:p w:rsidR="00AA7928" w:rsidRDefault="00AA7928" w:rsidP="00AA7928">
      <w:pPr>
        <w:pStyle w:val="Bezmezer"/>
        <w:numPr>
          <w:ilvl w:val="0"/>
          <w:numId w:val="6"/>
        </w:numPr>
        <w:shd w:val="clear" w:color="auto" w:fill="FFFFFF"/>
        <w:ind w:left="442" w:right="79" w:hanging="357"/>
        <w:jc w:val="both"/>
        <w:rPr>
          <w:bCs/>
          <w:color w:val="000000"/>
        </w:rPr>
      </w:pPr>
      <w:r w:rsidRPr="00AA7928">
        <w:rPr>
          <w:bCs/>
          <w:color w:val="000000"/>
        </w:rPr>
        <w:t>Do konce 21. století lze předpokládat, že globální objem ledovců, s výjimkou ledovců na okrajích Antarktidy, poklesne o 15 až 55 % podle RCP2.6 a o 35 až 85 % podle RCP8.5 (</w:t>
      </w:r>
      <w:r w:rsidRPr="00AA7928">
        <w:rPr>
          <w:bCs/>
          <w:i/>
          <w:color w:val="000000"/>
        </w:rPr>
        <w:t>střední spolehlivost</w:t>
      </w:r>
      <w:r w:rsidRPr="00AA7928">
        <w:rPr>
          <w:bCs/>
          <w:color w:val="000000"/>
        </w:rPr>
        <w:t>). {13.4, 13.5}</w:t>
      </w:r>
    </w:p>
    <w:p w:rsidR="00AA7928" w:rsidRPr="00AA7928" w:rsidRDefault="00AA7928" w:rsidP="00AA7928">
      <w:pPr>
        <w:pStyle w:val="Bezmezer"/>
        <w:shd w:val="clear" w:color="auto" w:fill="FFFFFF"/>
        <w:ind w:right="79"/>
        <w:jc w:val="both"/>
        <w:rPr>
          <w:bCs/>
          <w:color w:val="000000"/>
        </w:rPr>
      </w:pPr>
    </w:p>
    <w:p w:rsidR="00AA7928" w:rsidRDefault="00AA7928" w:rsidP="00AA7928">
      <w:pPr>
        <w:pStyle w:val="Bezmezer"/>
        <w:numPr>
          <w:ilvl w:val="0"/>
          <w:numId w:val="6"/>
        </w:numPr>
        <w:shd w:val="clear" w:color="auto" w:fill="FFFFFF"/>
        <w:ind w:left="442" w:right="79" w:hanging="357"/>
        <w:jc w:val="both"/>
        <w:rPr>
          <w:bCs/>
          <w:color w:val="000000"/>
        </w:rPr>
      </w:pPr>
      <w:r w:rsidRPr="00AA7928">
        <w:rPr>
          <w:bCs/>
          <w:color w:val="000000"/>
        </w:rPr>
        <w:t>Do konce 21. století lze podle multimodelových průměrů předpokládat, že rozsah jarní sněhové pokrývky na severní polokouli poklesne v průměru o 7 % podle RCP2.6 a o 25 % podle RCP8.5 (</w:t>
      </w:r>
      <w:r w:rsidRPr="00AA7928">
        <w:rPr>
          <w:bCs/>
          <w:i/>
          <w:color w:val="000000"/>
        </w:rPr>
        <w:t>střední spolehlivost</w:t>
      </w:r>
      <w:r w:rsidRPr="00AA7928">
        <w:rPr>
          <w:bCs/>
          <w:color w:val="000000"/>
        </w:rPr>
        <w:t>).  {12.4}</w:t>
      </w:r>
    </w:p>
    <w:p w:rsidR="00AA7928" w:rsidRPr="00AA7928" w:rsidRDefault="00AA7928" w:rsidP="00AA7928">
      <w:pPr>
        <w:pStyle w:val="Bezmezer"/>
        <w:shd w:val="clear" w:color="auto" w:fill="FFFFFF"/>
        <w:ind w:right="79"/>
        <w:jc w:val="both"/>
        <w:rPr>
          <w:bCs/>
          <w:color w:val="000000"/>
        </w:rPr>
      </w:pPr>
    </w:p>
    <w:p w:rsidR="00AA7928" w:rsidRDefault="00AA7928" w:rsidP="00AA7928">
      <w:pPr>
        <w:pStyle w:val="Bezmezer"/>
        <w:numPr>
          <w:ilvl w:val="0"/>
          <w:numId w:val="6"/>
        </w:numPr>
        <w:shd w:val="clear" w:color="auto" w:fill="FFFFFF"/>
        <w:ind w:left="442" w:right="79" w:hanging="357"/>
        <w:jc w:val="both"/>
        <w:rPr>
          <w:bCs/>
          <w:color w:val="000000"/>
        </w:rPr>
      </w:pPr>
      <w:r w:rsidRPr="00AA7928">
        <w:rPr>
          <w:bCs/>
          <w:color w:val="000000"/>
        </w:rPr>
        <w:t xml:space="preserve">Je </w:t>
      </w:r>
      <w:r w:rsidRPr="00AA7928">
        <w:rPr>
          <w:bCs/>
          <w:i/>
          <w:color w:val="000000"/>
        </w:rPr>
        <w:t>prakticky jisté</w:t>
      </w:r>
      <w:r w:rsidRPr="00AA7928">
        <w:rPr>
          <w:bCs/>
          <w:color w:val="000000"/>
        </w:rPr>
        <w:t>, že s nárůstem průměrné globální teploty při povrchu se bude rozsah trvale zmrzlé půdy (permafrostu) v blízkosti povrchu ve vyšších zeměpisných šířkách severní polokoule zmenšovat. Do konce 21. století se podle průměrů multimodelových projekcí oblast permafrostu v blízkosti povrchu (horních 3,5 m) zmenší v průměru o 37 % (RCP2.6) až 81 % (RCP8.5) (</w:t>
      </w:r>
      <w:r w:rsidRPr="00AA7928">
        <w:rPr>
          <w:bCs/>
          <w:i/>
          <w:color w:val="000000"/>
        </w:rPr>
        <w:t>střední spolehlivost</w:t>
      </w:r>
      <w:r w:rsidRPr="00AA7928">
        <w:rPr>
          <w:bCs/>
          <w:color w:val="000000"/>
        </w:rPr>
        <w:t>). {12.4}</w:t>
      </w:r>
    </w:p>
    <w:p w:rsidR="00D51FC2" w:rsidRDefault="00D51FC2" w:rsidP="00D51FC2">
      <w:pPr>
        <w:pStyle w:val="Odstavecseseznamem"/>
        <w:rPr>
          <w:bCs/>
          <w:color w:val="000000"/>
        </w:rPr>
      </w:pPr>
    </w:p>
    <w:p w:rsidR="00D51FC2" w:rsidRDefault="00D51FC2" w:rsidP="00D51FC2">
      <w:pPr>
        <w:pStyle w:val="Bezmezer"/>
        <w:shd w:val="clear" w:color="auto" w:fill="FFFFFF"/>
        <w:ind w:right="79"/>
        <w:jc w:val="both"/>
        <w:rPr>
          <w:bCs/>
          <w:color w:val="000000"/>
        </w:rPr>
      </w:pPr>
    </w:p>
    <w:p w:rsidR="00D51FC2" w:rsidRDefault="00D51FC2" w:rsidP="00D51FC2">
      <w:pPr>
        <w:pStyle w:val="Bezmezer"/>
        <w:shd w:val="clear" w:color="auto" w:fill="FFFFFF"/>
        <w:ind w:right="79"/>
        <w:jc w:val="both"/>
        <w:rPr>
          <w:b/>
          <w:bCs/>
          <w:color w:val="000000"/>
          <w:sz w:val="28"/>
          <w:szCs w:val="28"/>
        </w:rPr>
      </w:pPr>
      <w:r w:rsidRPr="00D51FC2">
        <w:rPr>
          <w:b/>
          <w:bCs/>
          <w:color w:val="000000"/>
          <w:sz w:val="28"/>
          <w:szCs w:val="28"/>
        </w:rPr>
        <w:t>E.6 Hladina oceánu</w:t>
      </w:r>
    </w:p>
    <w:p w:rsidR="00D51FC2" w:rsidRPr="00D51FC2" w:rsidRDefault="00C3040A" w:rsidP="00D51FC2">
      <w:pPr>
        <w:pStyle w:val="Bezmezer"/>
        <w:shd w:val="clear" w:color="auto" w:fill="FFFFFF"/>
        <w:ind w:right="79"/>
        <w:jc w:val="both"/>
        <w:rPr>
          <w:b/>
          <w:bCs/>
          <w:color w:val="000000"/>
          <w:sz w:val="28"/>
          <w:szCs w:val="28"/>
        </w:rPr>
      </w:pPr>
      <w:r>
        <w:rPr>
          <w:b/>
          <w:bCs/>
          <w:noProof/>
          <w:color w:val="000000"/>
          <w:sz w:val="28"/>
          <w:szCs w:val="28"/>
        </w:rPr>
        <mc:AlternateContent>
          <mc:Choice Requires="wps">
            <w:drawing>
              <wp:anchor distT="0" distB="0" distL="114300" distR="114300" simplePos="0" relativeHeight="251686912" behindDoc="0" locked="0" layoutInCell="1" allowOverlap="1">
                <wp:simplePos x="0" y="0"/>
                <wp:positionH relativeFrom="column">
                  <wp:posOffset>-51435</wp:posOffset>
                </wp:positionH>
                <wp:positionV relativeFrom="paragraph">
                  <wp:posOffset>74295</wp:posOffset>
                </wp:positionV>
                <wp:extent cx="6151880" cy="685165"/>
                <wp:effectExtent l="5715" t="7620" r="5080" b="5715"/>
                <wp:wrapNone/>
                <wp:docPr id="8"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1880" cy="685165"/>
                        </a:xfrm>
                        <a:prstGeom prst="rect">
                          <a:avLst/>
                        </a:prstGeom>
                        <a:solidFill>
                          <a:schemeClr val="accent6">
                            <a:lumMod val="40000"/>
                            <a:lumOff val="60000"/>
                          </a:schemeClr>
                        </a:solidFill>
                        <a:ln w="9525">
                          <a:solidFill>
                            <a:schemeClr val="accent6">
                              <a:lumMod val="40000"/>
                              <a:lumOff val="60000"/>
                            </a:schemeClr>
                          </a:solidFill>
                          <a:miter lim="800000"/>
                          <a:headEnd/>
                          <a:tailEnd/>
                        </a:ln>
                      </wps:spPr>
                      <wps:txbx>
                        <w:txbxContent>
                          <w:p w:rsidR="00D51FC2" w:rsidRPr="00D51FC2" w:rsidRDefault="00D51FC2" w:rsidP="00D51FC2">
                            <w:pPr>
                              <w:jc w:val="both"/>
                              <w:rPr>
                                <w:b/>
                                <w:color w:val="984806" w:themeColor="accent6" w:themeShade="80"/>
                              </w:rPr>
                            </w:pPr>
                            <w:r w:rsidRPr="00D51FC2">
                              <w:rPr>
                                <w:b/>
                                <w:color w:val="984806" w:themeColor="accent6" w:themeShade="80"/>
                                <w:spacing w:val="-1"/>
                              </w:rPr>
                              <w:t xml:space="preserve">Globální průměrná hladina oceánu bude ve 21.století nadále stoupat (viz Obr. SPM.9). Podle všech RCP scénářů bude rychlost růstu hladiny oceánu </w:t>
                            </w:r>
                            <w:r w:rsidRPr="00D51FC2">
                              <w:rPr>
                                <w:b/>
                                <w:i/>
                                <w:color w:val="984806" w:themeColor="accent6" w:themeShade="80"/>
                                <w:spacing w:val="-1"/>
                              </w:rPr>
                              <w:t>velmi pravděpodobně</w:t>
                            </w:r>
                            <w:r w:rsidRPr="00D51FC2">
                              <w:rPr>
                                <w:b/>
                                <w:color w:val="984806" w:themeColor="accent6" w:themeShade="80"/>
                                <w:spacing w:val="-1"/>
                              </w:rPr>
                              <w:t xml:space="preserve"> vyšší než napozorovaná za období 1971-2010. Důvodem je zvýšené oteplování oceánu a vyšší ztráty hmoty ledovců a ledovcových příkrovů </w:t>
                            </w:r>
                            <w:r w:rsidRPr="00D51FC2">
                              <w:rPr>
                                <w:b/>
                                <w:color w:val="984806" w:themeColor="accent6" w:themeShade="80"/>
                                <w:sz w:val="16"/>
                                <w:szCs w:val="16"/>
                              </w:rPr>
                              <w:t>{13.3-</w:t>
                            </w:r>
                            <w:r w:rsidRPr="00D51FC2">
                              <w:rPr>
                                <w:b/>
                                <w:color w:val="984806" w:themeColor="accent6" w:themeShade="80"/>
                                <w:spacing w:val="-6"/>
                                <w:sz w:val="16"/>
                                <w:szCs w:val="16"/>
                              </w:rPr>
                              <w:t>13.5}</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6" o:spid="_x0000_s1042" type="#_x0000_t202" style="position:absolute;left:0;text-align:left;margin-left:-4.05pt;margin-top:5.85pt;width:484.4pt;height:53.95pt;z-index:2516869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" fillcolor="#fbd4b4 [1305]" strokecolor="#fbd4b4 [1305]">
                <v:textbox style="mso-fit-shape-to-text:t">
                  <w:txbxContent>
                    <w:p w:rsidR="00D51FC2" w:rsidRPr="00D51FC2" w:rsidRDefault="00D51FC2" w:rsidP="00D51FC2">
                      <w:pPr>
                        <w:jc w:val="both"/>
                        <w:rPr>
                          <w:b/>
                          <w:color w:val="984806" w:themeColor="accent6" w:themeShade="80"/>
                        </w:rPr>
                      </w:pPr>
                      <w:r w:rsidRPr="00D51FC2">
                        <w:rPr>
                          <w:b/>
                          <w:color w:val="984806" w:themeColor="accent6" w:themeShade="80"/>
                          <w:spacing w:val="-1"/>
                        </w:rPr>
                        <w:t xml:space="preserve">Globální průměrná hladina oceánu bude ve 21.století nadále stoupat (viz Obr. SPM.9). Podle všech RCP scénářů bude rychlost růstu hladiny oceánu </w:t>
                      </w:r>
                      <w:r w:rsidRPr="00D51FC2">
                        <w:rPr>
                          <w:b/>
                          <w:i/>
                          <w:color w:val="984806" w:themeColor="accent6" w:themeShade="80"/>
                          <w:spacing w:val="-1"/>
                        </w:rPr>
                        <w:t>velmi pravděpodobně</w:t>
                      </w:r>
                      <w:r w:rsidRPr="00D51FC2">
                        <w:rPr>
                          <w:b/>
                          <w:color w:val="984806" w:themeColor="accent6" w:themeShade="80"/>
                          <w:spacing w:val="-1"/>
                        </w:rPr>
                        <w:t xml:space="preserve"> vyšší než napozorovaná za období 1971-2010. Důvodem je zvýšené oteplování oceánu a vyšší ztráty hmoty ledovců a ledovcových příkrovů </w:t>
                      </w:r>
                      <w:r w:rsidRPr="00D51FC2">
                        <w:rPr>
                          <w:b/>
                          <w:color w:val="984806" w:themeColor="accent6" w:themeShade="80"/>
                          <w:sz w:val="16"/>
                          <w:szCs w:val="16"/>
                        </w:rPr>
                        <w:t>{13.3-</w:t>
                      </w:r>
                      <w:r w:rsidRPr="00D51FC2">
                        <w:rPr>
                          <w:b/>
                          <w:color w:val="984806" w:themeColor="accent6" w:themeShade="80"/>
                          <w:spacing w:val="-6"/>
                          <w:sz w:val="16"/>
                          <w:szCs w:val="16"/>
                        </w:rPr>
                        <w:t>13.5}</w:t>
                      </w:r>
                    </w:p>
                  </w:txbxContent>
                </v:textbox>
              </v:shape>
            </w:pict>
          </mc:Fallback>
        </mc:AlternateContent>
      </w:r>
    </w:p>
    <w:p w:rsidR="00352481" w:rsidRDefault="00352481" w:rsidP="00AA7928">
      <w:pPr>
        <w:pStyle w:val="Odstavecseseznamem"/>
        <w:shd w:val="clear" w:color="auto" w:fill="FFFFFF"/>
        <w:tabs>
          <w:tab w:val="left" w:leader="underscore" w:pos="6658"/>
        </w:tabs>
        <w:ind w:left="0"/>
        <w:rPr>
          <w:rFonts w:ascii="Calibri" w:hAnsi="Calibri"/>
          <w:sz w:val="22"/>
          <w:szCs w:val="22"/>
        </w:rPr>
      </w:pPr>
    </w:p>
    <w:p w:rsidR="00352481" w:rsidRDefault="00352481" w:rsidP="00352481">
      <w:pPr>
        <w:pStyle w:val="Odstavecseseznamem"/>
        <w:shd w:val="clear" w:color="auto" w:fill="FFFFFF"/>
        <w:tabs>
          <w:tab w:val="left" w:leader="underscore" w:pos="6658"/>
        </w:tabs>
        <w:rPr>
          <w:rFonts w:ascii="Calibri" w:hAnsi="Calibri"/>
          <w:sz w:val="22"/>
          <w:szCs w:val="22"/>
        </w:rPr>
      </w:pPr>
    </w:p>
    <w:p w:rsidR="00352481" w:rsidRPr="00352481" w:rsidRDefault="00352481" w:rsidP="00352481">
      <w:pPr>
        <w:pStyle w:val="Odstavecseseznamem"/>
        <w:shd w:val="clear" w:color="auto" w:fill="FFFFFF"/>
        <w:tabs>
          <w:tab w:val="left" w:leader="underscore" w:pos="6658"/>
        </w:tabs>
        <w:rPr>
          <w:rFonts w:ascii="Calibri" w:hAnsi="Calibri"/>
          <w:sz w:val="22"/>
          <w:szCs w:val="22"/>
        </w:rPr>
      </w:pPr>
    </w:p>
    <w:p w:rsidR="00D51FC2" w:rsidRDefault="00D51FC2" w:rsidP="00D51FC2">
      <w:pPr>
        <w:pStyle w:val="Bezmezer"/>
        <w:shd w:val="clear" w:color="auto" w:fill="FFFFFF"/>
        <w:ind w:left="86" w:right="82"/>
        <w:jc w:val="both"/>
        <w:rPr>
          <w:bCs/>
          <w:color w:val="000000"/>
        </w:rPr>
      </w:pPr>
    </w:p>
    <w:p w:rsidR="00D51FC2" w:rsidRDefault="00D51FC2" w:rsidP="00D51FC2">
      <w:pPr>
        <w:pStyle w:val="Bezmezer"/>
        <w:numPr>
          <w:ilvl w:val="0"/>
          <w:numId w:val="6"/>
        </w:numPr>
        <w:shd w:val="clear" w:color="auto" w:fill="FFFFFF"/>
        <w:ind w:left="446" w:right="82"/>
        <w:jc w:val="both"/>
        <w:rPr>
          <w:bCs/>
          <w:color w:val="000000"/>
        </w:rPr>
      </w:pPr>
      <w:r w:rsidRPr="00D51FC2">
        <w:rPr>
          <w:bCs/>
          <w:color w:val="000000"/>
        </w:rPr>
        <w:t>Spolehlivost projekcí zvýšení průměrné globální hladiny oceánu se od doby zpracování hodnotící zprávy AR4 zvýšila díky lepšímu fyzikálnímu pochopení jednotlivých složek, ovlivňujících výšku hladiny oceánu, lepší shodě modelovaných procesů s pozorováními a zahrnutí dynamických změn ledového příkrovu. {13.3-13.5}</w:t>
      </w:r>
    </w:p>
    <w:p w:rsidR="00D51FC2" w:rsidRPr="00D51FC2" w:rsidRDefault="00D51FC2" w:rsidP="00D51FC2">
      <w:pPr>
        <w:pStyle w:val="Bezmezer"/>
        <w:shd w:val="clear" w:color="auto" w:fill="FFFFFF"/>
        <w:ind w:left="446" w:right="82"/>
        <w:jc w:val="both"/>
        <w:rPr>
          <w:bCs/>
          <w:color w:val="000000"/>
        </w:rPr>
      </w:pPr>
    </w:p>
    <w:p w:rsidR="00D51FC2" w:rsidRDefault="00D51FC2" w:rsidP="00D51FC2">
      <w:pPr>
        <w:pStyle w:val="Bezmezer"/>
        <w:numPr>
          <w:ilvl w:val="0"/>
          <w:numId w:val="6"/>
        </w:numPr>
        <w:shd w:val="clear" w:color="auto" w:fill="FFFFFF"/>
        <w:ind w:left="442" w:right="79" w:hanging="357"/>
        <w:jc w:val="both"/>
        <w:rPr>
          <w:bCs/>
          <w:color w:val="000000"/>
        </w:rPr>
      </w:pPr>
      <w:r w:rsidRPr="00D51FC2">
        <w:rPr>
          <w:bCs/>
          <w:color w:val="000000"/>
        </w:rPr>
        <w:t xml:space="preserve">Globální průměrná hladina oceánu se v období let 2081-2100 v porovnání s obdobím 1986-2005 </w:t>
      </w:r>
      <w:r w:rsidRPr="00D51FC2">
        <w:rPr>
          <w:bCs/>
          <w:i/>
          <w:color w:val="000000"/>
        </w:rPr>
        <w:t>pravděpodobně</w:t>
      </w:r>
      <w:r w:rsidRPr="00D51FC2">
        <w:rPr>
          <w:bCs/>
          <w:color w:val="000000"/>
        </w:rPr>
        <w:t xml:space="preserve"> zvýší v rozsahu 0,26 až 0,55 m podle scénáře RCP2.6, 0,32 až 0,63 m podle scénáře RCP4.5, 0,33 až 0,63 m podle scénáře RCP6.0 a 0,45 až 0,82 m podle scénáře RCP8.5 (</w:t>
      </w:r>
      <w:r w:rsidRPr="00D51FC2">
        <w:rPr>
          <w:bCs/>
          <w:i/>
          <w:color w:val="000000"/>
        </w:rPr>
        <w:t>střední spolehlivost</w:t>
      </w:r>
      <w:r w:rsidRPr="00D51FC2">
        <w:rPr>
          <w:bCs/>
          <w:color w:val="000000"/>
        </w:rPr>
        <w:t>). Podle scénáře RCP8.5 bude zvýšení hladiny k roku 2100 činit 0,52 až 0,98 m, přičemž rychlost zvyšování v letech 2081-2100 bude činit 8 až 16 mm.rok</w:t>
      </w:r>
      <w:r w:rsidRPr="00D51FC2">
        <w:rPr>
          <w:bCs/>
          <w:color w:val="000000"/>
          <w:vertAlign w:val="superscript"/>
        </w:rPr>
        <w:t>-1</w:t>
      </w:r>
      <w:r w:rsidRPr="00D51FC2">
        <w:rPr>
          <w:bCs/>
          <w:color w:val="000000"/>
        </w:rPr>
        <w:t xml:space="preserve"> (</w:t>
      </w:r>
      <w:r w:rsidRPr="00D51FC2">
        <w:rPr>
          <w:bCs/>
          <w:i/>
          <w:color w:val="000000"/>
        </w:rPr>
        <w:t>střední spolehlivost</w:t>
      </w:r>
      <w:r w:rsidRPr="00D51FC2">
        <w:rPr>
          <w:bCs/>
          <w:color w:val="000000"/>
        </w:rPr>
        <w:t>). Tyto rozsahy vycházejí z klimatických projekcí modely CMIP5 v kombinaci s procesními modely a vyhodnocením příspěvku horských ledovců a ledového příkrovu podle odborné literatury (viz obr. SPM.9, tab. SPM.2). {13.5}</w:t>
      </w:r>
    </w:p>
    <w:p w:rsidR="00D51FC2" w:rsidRPr="00D51FC2" w:rsidRDefault="00D51FC2" w:rsidP="00D51FC2">
      <w:pPr>
        <w:pStyle w:val="Bezmezer"/>
        <w:shd w:val="clear" w:color="auto" w:fill="FFFFFF"/>
        <w:ind w:right="79"/>
        <w:jc w:val="both"/>
        <w:rPr>
          <w:bCs/>
          <w:color w:val="000000"/>
        </w:rPr>
      </w:pPr>
    </w:p>
    <w:p w:rsidR="00D51FC2" w:rsidRDefault="00D51FC2" w:rsidP="00D51FC2">
      <w:pPr>
        <w:pStyle w:val="Bezmezer"/>
        <w:numPr>
          <w:ilvl w:val="0"/>
          <w:numId w:val="6"/>
        </w:numPr>
        <w:shd w:val="clear" w:color="auto" w:fill="FFFFFF"/>
        <w:ind w:left="442" w:right="79" w:hanging="357"/>
        <w:jc w:val="both"/>
        <w:rPr>
          <w:bCs/>
          <w:color w:val="000000"/>
        </w:rPr>
      </w:pPr>
      <w:r w:rsidRPr="00D51FC2">
        <w:rPr>
          <w:bCs/>
          <w:color w:val="000000"/>
        </w:rPr>
        <w:t>Podle projekcí RCP přispěje teplotní expanze vody ke zvýšení globální průměrné hladiny oceánu v 21. století ze 33 až 55 % a horské ledovce z 15 až 35 %. Vyšší tání povrchu grónského ledového příkrovu přesáhne nárůst ze sněhových srážek, což povede ke kladnému příspěvku změn hmotnostní bilance k budoucí výšce hladiny oceánu (</w:t>
      </w:r>
      <w:r w:rsidRPr="00D51FC2">
        <w:rPr>
          <w:bCs/>
          <w:i/>
          <w:color w:val="000000"/>
        </w:rPr>
        <w:t>vysoká spolehlivost</w:t>
      </w:r>
      <w:r w:rsidRPr="00D51FC2">
        <w:rPr>
          <w:bCs/>
          <w:color w:val="000000"/>
        </w:rPr>
        <w:t>). Zatímco bude rozsah povrchového tání malý, očekává se nárůst sněhových srážek na antarktický ledový příkrov (</w:t>
      </w:r>
      <w:r w:rsidRPr="00D51FC2">
        <w:rPr>
          <w:bCs/>
          <w:i/>
          <w:color w:val="000000"/>
        </w:rPr>
        <w:t>střední spolehlivost</w:t>
      </w:r>
      <w:r w:rsidRPr="00D51FC2">
        <w:rPr>
          <w:bCs/>
          <w:color w:val="000000"/>
        </w:rPr>
        <w:t xml:space="preserve">) s výsledkem záporného příspěvku k budoucí výšce hladiny oceánu ze změn hmotnosti bilance. Změny odtoku z obou ledových příkrovů dohromady budou </w:t>
      </w:r>
      <w:r w:rsidRPr="00D51FC2">
        <w:rPr>
          <w:bCs/>
          <w:i/>
          <w:color w:val="000000"/>
        </w:rPr>
        <w:t>pravděpodobně</w:t>
      </w:r>
      <w:r w:rsidRPr="00D51FC2">
        <w:rPr>
          <w:bCs/>
          <w:color w:val="000000"/>
        </w:rPr>
        <w:t xml:space="preserve"> znamenat příspěvek v rozsahu 0,03 až 0,20 m do období 2081-2100 (</w:t>
      </w:r>
      <w:r w:rsidRPr="00D51FC2">
        <w:rPr>
          <w:bCs/>
          <w:i/>
          <w:color w:val="000000"/>
        </w:rPr>
        <w:t>střední spolehlivost</w:t>
      </w:r>
      <w:r w:rsidRPr="00D51FC2">
        <w:rPr>
          <w:bCs/>
          <w:color w:val="000000"/>
        </w:rPr>
        <w:t>). {13.3-13.5}</w:t>
      </w:r>
    </w:p>
    <w:p w:rsidR="00D51FC2" w:rsidRPr="00D51FC2" w:rsidRDefault="00D51FC2" w:rsidP="00D51FC2">
      <w:pPr>
        <w:pStyle w:val="Bezmezer"/>
        <w:shd w:val="clear" w:color="auto" w:fill="FFFFFF"/>
        <w:ind w:right="79"/>
        <w:jc w:val="both"/>
        <w:rPr>
          <w:bCs/>
          <w:color w:val="000000"/>
        </w:rPr>
      </w:pPr>
    </w:p>
    <w:p w:rsidR="00D51FC2" w:rsidRDefault="00D51FC2" w:rsidP="00D51FC2">
      <w:pPr>
        <w:pStyle w:val="Bezmezer"/>
        <w:numPr>
          <w:ilvl w:val="0"/>
          <w:numId w:val="6"/>
        </w:numPr>
        <w:shd w:val="clear" w:color="auto" w:fill="FFFFFF"/>
        <w:ind w:left="446" w:right="82"/>
        <w:jc w:val="both"/>
        <w:rPr>
          <w:bCs/>
          <w:color w:val="000000"/>
        </w:rPr>
      </w:pPr>
      <w:r w:rsidRPr="00D51FC2">
        <w:rPr>
          <w:bCs/>
          <w:color w:val="000000"/>
        </w:rPr>
        <w:t xml:space="preserve">Podle současných poznatků by podstatné zvýšení globální střední hladiny oceánu v 21. století nad </w:t>
      </w:r>
      <w:r w:rsidRPr="00D51FC2">
        <w:rPr>
          <w:bCs/>
          <w:i/>
          <w:color w:val="000000"/>
        </w:rPr>
        <w:t>pravděpodobný</w:t>
      </w:r>
      <w:r w:rsidRPr="00D51FC2">
        <w:rPr>
          <w:bCs/>
          <w:color w:val="000000"/>
        </w:rPr>
        <w:t xml:space="preserve"> rozsah mohl přinést jen kolaps mořských částí antarktického ledového příkrovu. Existuje však </w:t>
      </w:r>
      <w:r w:rsidRPr="00D51FC2">
        <w:rPr>
          <w:bCs/>
          <w:i/>
          <w:color w:val="000000"/>
        </w:rPr>
        <w:t>střední pravděpodobnost</w:t>
      </w:r>
      <w:r w:rsidRPr="00D51FC2">
        <w:rPr>
          <w:bCs/>
          <w:color w:val="000000"/>
        </w:rPr>
        <w:t>, že by tento dodatečný příspěvek ke zvýšení hladiny oceánu v 21. století nepřesáhl několik desetin metru. {13.4, 13.5}</w:t>
      </w:r>
    </w:p>
    <w:p w:rsidR="00D51FC2" w:rsidRPr="00D51FC2" w:rsidRDefault="00D51FC2" w:rsidP="00D51FC2">
      <w:pPr>
        <w:pStyle w:val="Bezmezer"/>
        <w:shd w:val="clear" w:color="auto" w:fill="FFFFFF"/>
        <w:ind w:right="82"/>
        <w:jc w:val="both"/>
        <w:rPr>
          <w:bCs/>
          <w:color w:val="000000"/>
        </w:rPr>
      </w:pPr>
    </w:p>
    <w:p w:rsidR="00D51FC2" w:rsidRDefault="00D51FC2" w:rsidP="00D51FC2">
      <w:pPr>
        <w:pStyle w:val="Bezmezer"/>
        <w:numPr>
          <w:ilvl w:val="0"/>
          <w:numId w:val="6"/>
        </w:numPr>
        <w:shd w:val="clear" w:color="auto" w:fill="FFFFFF"/>
        <w:ind w:left="446" w:right="82"/>
        <w:jc w:val="both"/>
        <w:rPr>
          <w:bCs/>
          <w:color w:val="000000"/>
        </w:rPr>
      </w:pPr>
      <w:r w:rsidRPr="00D51FC2">
        <w:rPr>
          <w:bCs/>
          <w:color w:val="000000"/>
        </w:rPr>
        <w:t xml:space="preserve">Byla posouzena východiska pro vyšší projekce zvýšení globální průměrné hladiny oceánu v 21. století se závěrem, že v současné době není k dispozici dostatek výstupů, aby bylo možné vyhodnotit pravděpodobnost konkrétních výšek hladiny nad stanovený </w:t>
      </w:r>
      <w:r w:rsidRPr="00D51FC2">
        <w:rPr>
          <w:bCs/>
          <w:i/>
          <w:color w:val="000000"/>
        </w:rPr>
        <w:t>pravděpodobný</w:t>
      </w:r>
      <w:r w:rsidRPr="00D51FC2">
        <w:rPr>
          <w:bCs/>
          <w:color w:val="000000"/>
        </w:rPr>
        <w:t xml:space="preserve"> rozsah. Řada semiempirických modelových projekcí zvýšení globální průměrné hladiny oceánu ukazuje vyšší hodnoty než projekce na základě procesních modelů (až dvojnásobně), ale vědecká obec se neshoduje na jejich spolehlivosti, a proto jsou tyto projekce hodnoceny jako </w:t>
      </w:r>
      <w:r w:rsidRPr="00D51FC2">
        <w:rPr>
          <w:bCs/>
          <w:i/>
          <w:color w:val="000000"/>
        </w:rPr>
        <w:t>málo spolehlivé</w:t>
      </w:r>
      <w:r w:rsidRPr="00D51FC2">
        <w:rPr>
          <w:bCs/>
          <w:color w:val="000000"/>
        </w:rPr>
        <w:t>. {13.5}</w:t>
      </w:r>
    </w:p>
    <w:p w:rsidR="00D51FC2" w:rsidRDefault="00D51FC2" w:rsidP="00D51FC2">
      <w:pPr>
        <w:pStyle w:val="Odstavecseseznamem"/>
        <w:rPr>
          <w:bCs/>
          <w:color w:val="000000"/>
        </w:rPr>
      </w:pPr>
    </w:p>
    <w:p w:rsidR="00D51FC2" w:rsidRDefault="00D51FC2" w:rsidP="00D51FC2">
      <w:pPr>
        <w:pStyle w:val="Bezmezer"/>
        <w:shd w:val="clear" w:color="auto" w:fill="FFFFFF"/>
        <w:ind w:right="82"/>
        <w:jc w:val="center"/>
        <w:rPr>
          <w:bCs/>
          <w:color w:val="000000"/>
        </w:rPr>
      </w:pPr>
      <w:r>
        <w:rPr>
          <w:bCs/>
          <w:noProof/>
          <w:color w:val="000000"/>
        </w:rPr>
        <w:lastRenderedPageBreak/>
        <w:drawing>
          <wp:inline distT="0" distB="0" distL="0" distR="0">
            <wp:extent cx="4130040" cy="3270504"/>
            <wp:effectExtent l="19050" t="0" r="3810" b="0"/>
            <wp:docPr id="14" name="Obrázek 13" descr="SPM Fig9_final-C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M Fig9_final-CZ.jpg"/>
                    <pic:cNvPicPr/>
                  </pic:nvPicPr>
                  <pic:blipFill>
                    <a:blip r:embed="rId21" cstate="print"/>
                    <a:stretch>
                      <a:fillRect/>
                    </a:stretch>
                  </pic:blipFill>
                  <pic:spPr>
                    <a:xfrm>
                      <a:off x="0" y="0"/>
                      <a:ext cx="4130040" cy="3270504"/>
                    </a:xfrm>
                    <a:prstGeom prst="rect">
                      <a:avLst/>
                    </a:prstGeom>
                  </pic:spPr>
                </pic:pic>
              </a:graphicData>
            </a:graphic>
          </wp:inline>
        </w:drawing>
      </w:r>
    </w:p>
    <w:p w:rsidR="00D51FC2" w:rsidRDefault="00D51FC2" w:rsidP="00D51FC2">
      <w:pPr>
        <w:pStyle w:val="Bezmezer"/>
        <w:shd w:val="clear" w:color="auto" w:fill="FFFFFF"/>
        <w:ind w:right="82"/>
        <w:jc w:val="center"/>
        <w:rPr>
          <w:bCs/>
          <w:color w:val="000000"/>
        </w:rPr>
      </w:pPr>
    </w:p>
    <w:p w:rsidR="00D51FC2" w:rsidRPr="00D51FC2" w:rsidRDefault="00D51FC2" w:rsidP="00D51FC2">
      <w:pPr>
        <w:shd w:val="clear" w:color="auto" w:fill="FFFFFF"/>
        <w:jc w:val="both"/>
        <w:rPr>
          <w:b/>
          <w:bCs/>
          <w:color w:val="000000"/>
          <w:spacing w:val="-7"/>
          <w:sz w:val="16"/>
          <w:szCs w:val="16"/>
        </w:rPr>
      </w:pPr>
      <w:r w:rsidRPr="00D51FC2">
        <w:rPr>
          <w:b/>
          <w:bCs/>
          <w:color w:val="000000"/>
          <w:spacing w:val="-7"/>
          <w:sz w:val="16"/>
          <w:szCs w:val="16"/>
        </w:rPr>
        <w:t>Obr</w:t>
      </w:r>
      <w:r>
        <w:rPr>
          <w:b/>
          <w:bCs/>
          <w:color w:val="000000"/>
          <w:spacing w:val="-7"/>
          <w:sz w:val="16"/>
          <w:szCs w:val="16"/>
        </w:rPr>
        <w:t>.</w:t>
      </w:r>
      <w:r w:rsidRPr="00D51FC2">
        <w:rPr>
          <w:b/>
          <w:bCs/>
          <w:color w:val="000000"/>
          <w:spacing w:val="-7"/>
          <w:sz w:val="16"/>
          <w:szCs w:val="16"/>
        </w:rPr>
        <w:t xml:space="preserve"> SPM.9: </w:t>
      </w:r>
      <w:r w:rsidRPr="00D51FC2">
        <w:rPr>
          <w:bCs/>
          <w:color w:val="000000"/>
          <w:sz w:val="16"/>
          <w:szCs w:val="16"/>
        </w:rPr>
        <w:t xml:space="preserve">Projekce zvýšení průměrné globální hladiny oceánu v 21. století v porovnání s obdobím let 1986-2005 podle ansámblu modelů CMIP5 a procesních modelů pro scénáře RCP2.6 a RCP8.5. Vyhodnocený rozsah </w:t>
      </w:r>
      <w:r w:rsidRPr="00D51FC2">
        <w:rPr>
          <w:bCs/>
          <w:i/>
          <w:color w:val="000000"/>
          <w:sz w:val="16"/>
          <w:szCs w:val="16"/>
        </w:rPr>
        <w:t xml:space="preserve">pravděpodobných </w:t>
      </w:r>
      <w:r w:rsidRPr="00D51FC2">
        <w:rPr>
          <w:bCs/>
          <w:color w:val="000000"/>
          <w:sz w:val="16"/>
          <w:szCs w:val="16"/>
        </w:rPr>
        <w:t xml:space="preserve">hodnot je znázorněn jako vystínovaný pás. Vyhodnocené rozsahy </w:t>
      </w:r>
      <w:r w:rsidRPr="00D51FC2">
        <w:rPr>
          <w:bCs/>
          <w:i/>
          <w:color w:val="000000"/>
          <w:sz w:val="16"/>
          <w:szCs w:val="16"/>
        </w:rPr>
        <w:t xml:space="preserve">pravděpodobných </w:t>
      </w:r>
      <w:r w:rsidRPr="00D51FC2">
        <w:rPr>
          <w:bCs/>
          <w:color w:val="000000"/>
          <w:sz w:val="16"/>
          <w:szCs w:val="16"/>
        </w:rPr>
        <w:t xml:space="preserve">hodnot u průměru v období let 2081-2100 jsou u všech scénářů RCP znázorněny jako barevné svislé sloupce, přičemž odpovídající hodnota mediánu je uvedena jako vodorovná čára. Další odborné informace jsou uvedeny v Dodatku k Technical Summary. </w:t>
      </w:r>
      <w:r w:rsidRPr="00D51FC2">
        <w:rPr>
          <w:color w:val="000000"/>
          <w:spacing w:val="-9"/>
          <w:sz w:val="16"/>
          <w:szCs w:val="16"/>
        </w:rPr>
        <w:t>{Tab</w:t>
      </w:r>
      <w:r w:rsidR="002900DC">
        <w:rPr>
          <w:color w:val="000000"/>
          <w:spacing w:val="-9"/>
          <w:sz w:val="16"/>
          <w:szCs w:val="16"/>
        </w:rPr>
        <w:t>.</w:t>
      </w:r>
      <w:r w:rsidRPr="00D51FC2">
        <w:rPr>
          <w:color w:val="000000"/>
          <w:spacing w:val="-9"/>
          <w:sz w:val="16"/>
          <w:szCs w:val="16"/>
        </w:rPr>
        <w:t xml:space="preserve"> 13.5, obr. 13.10 a 13.11; obr. TS.21 a TS.22}</w:t>
      </w:r>
    </w:p>
    <w:p w:rsidR="00D51FC2" w:rsidRPr="00D51FC2" w:rsidRDefault="00D51FC2" w:rsidP="00D51FC2">
      <w:pPr>
        <w:pStyle w:val="Bezmezer"/>
        <w:shd w:val="clear" w:color="auto" w:fill="FFFFFF"/>
        <w:ind w:right="82"/>
        <w:jc w:val="center"/>
        <w:rPr>
          <w:bCs/>
          <w:color w:val="000000"/>
        </w:rPr>
      </w:pPr>
    </w:p>
    <w:p w:rsidR="00D51FC2" w:rsidRDefault="00D51FC2" w:rsidP="00D51FC2">
      <w:pPr>
        <w:pStyle w:val="Bezmezer"/>
        <w:numPr>
          <w:ilvl w:val="0"/>
          <w:numId w:val="6"/>
        </w:numPr>
        <w:shd w:val="clear" w:color="auto" w:fill="FFFFFF"/>
        <w:ind w:left="446" w:right="82"/>
        <w:jc w:val="both"/>
        <w:rPr>
          <w:bCs/>
          <w:color w:val="000000"/>
        </w:rPr>
      </w:pPr>
      <w:r w:rsidRPr="00D51FC2">
        <w:rPr>
          <w:bCs/>
          <w:color w:val="000000"/>
        </w:rPr>
        <w:t xml:space="preserve">Hladina oceánu se nezvýší všude stejně. Do konce 21. století je </w:t>
      </w:r>
      <w:r w:rsidRPr="00D51FC2">
        <w:rPr>
          <w:bCs/>
          <w:i/>
          <w:color w:val="000000"/>
        </w:rPr>
        <w:t>velmi pravděpodobné</w:t>
      </w:r>
      <w:r w:rsidRPr="00D51FC2">
        <w:rPr>
          <w:bCs/>
          <w:color w:val="000000"/>
        </w:rPr>
        <w:t>, že hladina oceánu stoupne na více než 95 % oceánských oblastí. Podle projekcí na zhruba 70 % pobřeží dojde ke změně výšky hladiny v rozmezí 20 % od globální průměrné změny hladiny oceánu. {13.1, 13.6}</w:t>
      </w:r>
    </w:p>
    <w:p w:rsidR="00D51FC2" w:rsidRDefault="00D51FC2" w:rsidP="00D51FC2">
      <w:pPr>
        <w:pStyle w:val="Bezmezer"/>
        <w:shd w:val="clear" w:color="auto" w:fill="FFFFFF"/>
        <w:ind w:right="82"/>
        <w:jc w:val="both"/>
        <w:rPr>
          <w:bCs/>
          <w:color w:val="000000"/>
        </w:rPr>
      </w:pPr>
    </w:p>
    <w:p w:rsidR="00D51FC2" w:rsidRDefault="00D51FC2" w:rsidP="00D51FC2">
      <w:pPr>
        <w:pStyle w:val="Bezmezer"/>
        <w:shd w:val="clear" w:color="auto" w:fill="FFFFFF"/>
        <w:ind w:right="82"/>
        <w:jc w:val="both"/>
        <w:rPr>
          <w:bCs/>
          <w:color w:val="000000"/>
        </w:rPr>
      </w:pPr>
    </w:p>
    <w:p w:rsidR="00D51FC2" w:rsidRDefault="00D51FC2" w:rsidP="00D51FC2">
      <w:pPr>
        <w:pStyle w:val="Bezmezer"/>
        <w:shd w:val="clear" w:color="auto" w:fill="FFFFFF"/>
        <w:ind w:right="82"/>
        <w:jc w:val="both"/>
        <w:rPr>
          <w:b/>
          <w:bCs/>
          <w:color w:val="000000"/>
          <w:sz w:val="28"/>
          <w:szCs w:val="28"/>
        </w:rPr>
      </w:pPr>
      <w:r w:rsidRPr="00D51FC2">
        <w:rPr>
          <w:b/>
          <w:bCs/>
          <w:color w:val="000000"/>
          <w:sz w:val="28"/>
          <w:szCs w:val="28"/>
        </w:rPr>
        <w:t>E.7 Uhlíkový cyklus a další biogeochemické cykly</w:t>
      </w:r>
    </w:p>
    <w:p w:rsidR="00D51FC2" w:rsidRDefault="00C3040A" w:rsidP="00D51FC2">
      <w:pPr>
        <w:pStyle w:val="Bezmezer"/>
        <w:shd w:val="clear" w:color="auto" w:fill="FFFFFF"/>
        <w:ind w:right="82"/>
        <w:jc w:val="both"/>
        <w:rPr>
          <w:b/>
          <w:bCs/>
          <w:color w:val="000000"/>
          <w:sz w:val="28"/>
          <w:szCs w:val="28"/>
        </w:rPr>
      </w:pPr>
      <w:r>
        <w:rPr>
          <w:b/>
          <w:bCs/>
          <w:noProof/>
          <w:color w:val="000000"/>
          <w:sz w:val="28"/>
          <w:szCs w:val="28"/>
        </w:rPr>
        <mc:AlternateContent>
          <mc:Choice Requires="wps">
            <w:drawing>
              <wp:anchor distT="0" distB="0" distL="114300" distR="114300" simplePos="0" relativeHeight="251687936" behindDoc="0" locked="0" layoutInCell="1" allowOverlap="1">
                <wp:simplePos x="0" y="0"/>
                <wp:positionH relativeFrom="column">
                  <wp:posOffset>-131445</wp:posOffset>
                </wp:positionH>
                <wp:positionV relativeFrom="paragraph">
                  <wp:posOffset>63500</wp:posOffset>
                </wp:positionV>
                <wp:extent cx="6151880" cy="393065"/>
                <wp:effectExtent l="11430" t="6350" r="8890" b="10160"/>
                <wp:wrapNone/>
                <wp:docPr id="7"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1880" cy="393065"/>
                        </a:xfrm>
                        <a:prstGeom prst="rect">
                          <a:avLst/>
                        </a:prstGeom>
                        <a:solidFill>
                          <a:schemeClr val="accent6">
                            <a:lumMod val="40000"/>
                            <a:lumOff val="60000"/>
                          </a:schemeClr>
                        </a:solidFill>
                        <a:ln w="9525">
                          <a:solidFill>
                            <a:schemeClr val="accent6">
                              <a:lumMod val="40000"/>
                              <a:lumOff val="60000"/>
                            </a:schemeClr>
                          </a:solidFill>
                          <a:miter lim="800000"/>
                          <a:headEnd/>
                          <a:tailEnd/>
                        </a:ln>
                      </wps:spPr>
                      <wps:txbx>
                        <w:txbxContent>
                          <w:p w:rsidR="00D51FC2" w:rsidRPr="00D51FC2" w:rsidRDefault="00D51FC2" w:rsidP="00D51FC2">
                            <w:pPr>
                              <w:jc w:val="both"/>
                              <w:rPr>
                                <w:b/>
                                <w:color w:val="984806" w:themeColor="accent6" w:themeShade="80"/>
                              </w:rPr>
                            </w:pPr>
                            <w:r w:rsidRPr="00D51FC2">
                              <w:rPr>
                                <w:b/>
                                <w:color w:val="984806" w:themeColor="accent6" w:themeShade="80"/>
                              </w:rPr>
                              <w:t>Změna klimatu ovlivní procesy koloběhu uhlíku takovým způsobem, který zesílí nárůst CO</w:t>
                            </w:r>
                            <w:r w:rsidRPr="00D51FC2">
                              <w:rPr>
                                <w:b/>
                                <w:color w:val="984806" w:themeColor="accent6" w:themeShade="80"/>
                                <w:vertAlign w:val="subscript"/>
                              </w:rPr>
                              <w:t>2</w:t>
                            </w:r>
                            <w:r w:rsidRPr="00D51FC2">
                              <w:rPr>
                                <w:b/>
                                <w:color w:val="984806" w:themeColor="accent6" w:themeShade="80"/>
                              </w:rPr>
                              <w:t xml:space="preserve"> v atmosféře (</w:t>
                            </w:r>
                            <w:r w:rsidRPr="00D51FC2">
                              <w:rPr>
                                <w:b/>
                                <w:i/>
                                <w:color w:val="984806" w:themeColor="accent6" w:themeShade="80"/>
                              </w:rPr>
                              <w:t>vysoká spolehlivost</w:t>
                            </w:r>
                            <w:r w:rsidRPr="00D51FC2">
                              <w:rPr>
                                <w:b/>
                                <w:color w:val="984806" w:themeColor="accent6" w:themeShade="80"/>
                              </w:rPr>
                              <w:t>). Další ukládání uhlíku v oceánu zvýší jeho acidifikaci.</w:t>
                            </w:r>
                            <w:r w:rsidRPr="00D51FC2">
                              <w:rPr>
                                <w:b/>
                                <w:color w:val="984806" w:themeColor="accent6" w:themeShade="80"/>
                                <w:spacing w:val="-1"/>
                              </w:rPr>
                              <w:t xml:space="preserve"> </w:t>
                            </w:r>
                            <w:r w:rsidRPr="00D51FC2">
                              <w:rPr>
                                <w:b/>
                                <w:color w:val="984806" w:themeColor="accent6" w:themeShade="80"/>
                                <w:spacing w:val="-1"/>
                                <w:sz w:val="16"/>
                                <w:szCs w:val="16"/>
                              </w:rPr>
                              <w:t>{6.4}</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7" o:spid="_x0000_s1043" type="#_x0000_t202" style="position:absolute;left:0;text-align:left;margin-left:-10.35pt;margin-top:5pt;width:484.4pt;height:30.95pt;z-index:2516879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" fillcolor="#fbd4b4 [1305]" strokecolor="#fbd4b4 [1305]">
                <v:textbox style="mso-fit-shape-to-text:t">
                  <w:txbxContent>
                    <w:p w:rsidR="00D51FC2" w:rsidRPr="00D51FC2" w:rsidRDefault="00D51FC2" w:rsidP="00D51FC2">
                      <w:pPr>
                        <w:jc w:val="both"/>
                        <w:rPr>
                          <w:b/>
                          <w:color w:val="984806" w:themeColor="accent6" w:themeShade="80"/>
                        </w:rPr>
                      </w:pPr>
                      <w:r w:rsidRPr="00D51FC2">
                        <w:rPr>
                          <w:b/>
                          <w:color w:val="984806" w:themeColor="accent6" w:themeShade="80"/>
                        </w:rPr>
                        <w:t>Změna klimatu ovlivní procesy koloběhu uhlíku takovým způsobem, který zesílí nárůst CO</w:t>
                      </w:r>
                      <w:r w:rsidRPr="00D51FC2">
                        <w:rPr>
                          <w:b/>
                          <w:color w:val="984806" w:themeColor="accent6" w:themeShade="80"/>
                          <w:vertAlign w:val="subscript"/>
                        </w:rPr>
                        <w:t>2</w:t>
                      </w:r>
                      <w:r w:rsidRPr="00D51FC2">
                        <w:rPr>
                          <w:b/>
                          <w:color w:val="984806" w:themeColor="accent6" w:themeShade="80"/>
                        </w:rPr>
                        <w:t xml:space="preserve"> v atmosféře (</w:t>
                      </w:r>
                      <w:r w:rsidRPr="00D51FC2">
                        <w:rPr>
                          <w:b/>
                          <w:i/>
                          <w:color w:val="984806" w:themeColor="accent6" w:themeShade="80"/>
                        </w:rPr>
                        <w:t>vysoká spolehlivost</w:t>
                      </w:r>
                      <w:r w:rsidRPr="00D51FC2">
                        <w:rPr>
                          <w:b/>
                          <w:color w:val="984806" w:themeColor="accent6" w:themeShade="80"/>
                        </w:rPr>
                        <w:t>). Další ukládání uhlíku v oceánu zvýší jeho acidifikaci.</w:t>
                      </w:r>
                      <w:r w:rsidRPr="00D51FC2">
                        <w:rPr>
                          <w:b/>
                          <w:color w:val="984806" w:themeColor="accent6" w:themeShade="80"/>
                          <w:spacing w:val="-1"/>
                        </w:rPr>
                        <w:t xml:space="preserve"> </w:t>
                      </w:r>
                      <w:r w:rsidRPr="00D51FC2">
                        <w:rPr>
                          <w:b/>
                          <w:color w:val="984806" w:themeColor="accent6" w:themeShade="80"/>
                          <w:spacing w:val="-1"/>
                          <w:sz w:val="16"/>
                          <w:szCs w:val="16"/>
                        </w:rPr>
                        <w:t>{6.4}</w:t>
                      </w:r>
                    </w:p>
                  </w:txbxContent>
                </v:textbox>
              </v:shape>
            </w:pict>
          </mc:Fallback>
        </mc:AlternateContent>
      </w:r>
    </w:p>
    <w:p w:rsidR="00D51FC2" w:rsidRDefault="00D51FC2" w:rsidP="00D51FC2">
      <w:pPr>
        <w:pStyle w:val="Bezmezer"/>
        <w:shd w:val="clear" w:color="auto" w:fill="FFFFFF"/>
        <w:ind w:right="82"/>
        <w:jc w:val="both"/>
        <w:rPr>
          <w:b/>
          <w:bCs/>
          <w:color w:val="000000"/>
          <w:sz w:val="28"/>
          <w:szCs w:val="28"/>
        </w:rPr>
      </w:pPr>
    </w:p>
    <w:p w:rsidR="00D51FC2" w:rsidRPr="00D51FC2" w:rsidRDefault="00D51FC2" w:rsidP="00D51FC2">
      <w:pPr>
        <w:pStyle w:val="Bezmezer"/>
        <w:shd w:val="clear" w:color="auto" w:fill="FFFFFF"/>
        <w:ind w:right="82"/>
        <w:jc w:val="both"/>
        <w:rPr>
          <w:b/>
          <w:bCs/>
          <w:color w:val="000000"/>
          <w:sz w:val="28"/>
          <w:szCs w:val="28"/>
        </w:rPr>
      </w:pPr>
    </w:p>
    <w:p w:rsidR="00D51FC2" w:rsidRDefault="00D51FC2" w:rsidP="00D51FC2">
      <w:pPr>
        <w:pStyle w:val="Bezmezer"/>
        <w:numPr>
          <w:ilvl w:val="0"/>
          <w:numId w:val="6"/>
        </w:numPr>
        <w:shd w:val="clear" w:color="auto" w:fill="FFFFFF"/>
        <w:ind w:left="426" w:right="79" w:hanging="426"/>
        <w:jc w:val="both"/>
        <w:rPr>
          <w:bCs/>
          <w:color w:val="000000"/>
        </w:rPr>
      </w:pPr>
      <w:r w:rsidRPr="00D51FC2">
        <w:rPr>
          <w:bCs/>
          <w:color w:val="000000"/>
        </w:rPr>
        <w:t>Ukládání antropogenního CO</w:t>
      </w:r>
      <w:r w:rsidRPr="00D51FC2">
        <w:rPr>
          <w:bCs/>
          <w:color w:val="000000"/>
          <w:vertAlign w:val="subscript"/>
        </w:rPr>
        <w:t>2</w:t>
      </w:r>
      <w:r w:rsidRPr="00D51FC2">
        <w:rPr>
          <w:bCs/>
          <w:color w:val="000000"/>
        </w:rPr>
        <w:t xml:space="preserve"> v oceánu bude pokračovat podle všech čtyř scénářů RCP až do roku 2100, přičemž s vyšší koncentrací bude docházet k vyššímu ukládání (</w:t>
      </w:r>
      <w:r w:rsidRPr="00D51FC2">
        <w:rPr>
          <w:bCs/>
          <w:i/>
          <w:color w:val="000000"/>
        </w:rPr>
        <w:t>velmi vysoká spolehlivost</w:t>
      </w:r>
      <w:r w:rsidRPr="00D51FC2">
        <w:rPr>
          <w:bCs/>
          <w:color w:val="000000"/>
        </w:rPr>
        <w:t>). Budoucí vývoj ukládání uhlíku na pevnině je méně jistý. Většina modelů projektuje ve všech scénářích RCP pokračující ukládání uhlíku na pevnině, ale některé modely simulují ztrátu uhlíku v půdě v důsledku kombinovaného efektu změny klimatu a změny využívání půdy. {6.4}</w:t>
      </w:r>
    </w:p>
    <w:p w:rsidR="00D51FC2" w:rsidRPr="00D51FC2" w:rsidRDefault="00D51FC2" w:rsidP="00D51FC2">
      <w:pPr>
        <w:pStyle w:val="Bezmezer"/>
        <w:shd w:val="clear" w:color="auto" w:fill="FFFFFF"/>
        <w:ind w:left="426" w:right="79"/>
        <w:jc w:val="both"/>
        <w:rPr>
          <w:bCs/>
          <w:color w:val="000000"/>
        </w:rPr>
      </w:pPr>
    </w:p>
    <w:p w:rsidR="00D51FC2" w:rsidRDefault="00D51FC2" w:rsidP="00D51FC2">
      <w:pPr>
        <w:pStyle w:val="Bezmezer"/>
        <w:numPr>
          <w:ilvl w:val="0"/>
          <w:numId w:val="6"/>
        </w:numPr>
        <w:shd w:val="clear" w:color="auto" w:fill="FFFFFF"/>
        <w:ind w:left="426" w:right="79" w:hanging="426"/>
        <w:jc w:val="both"/>
        <w:rPr>
          <w:bCs/>
          <w:color w:val="000000"/>
        </w:rPr>
      </w:pPr>
      <w:r w:rsidRPr="00D51FC2">
        <w:rPr>
          <w:bCs/>
          <w:color w:val="000000"/>
        </w:rPr>
        <w:t xml:space="preserve">Na základě modelů ESM (Earth System Model) existuje </w:t>
      </w:r>
      <w:r w:rsidRPr="00D51FC2">
        <w:rPr>
          <w:bCs/>
          <w:i/>
          <w:color w:val="000000"/>
        </w:rPr>
        <w:t>vysoká spolehlivost</w:t>
      </w:r>
      <w:r w:rsidRPr="00D51FC2">
        <w:rPr>
          <w:bCs/>
          <w:color w:val="000000"/>
        </w:rPr>
        <w:t>, že zpětná vazba mezi klimatem a uhlíkovým cyklem je v 21. století kladná; to znamená, že změna klimatu částečně kompenzuje nárůst ukládání uhlíku na pevnině a v oceánu v důsledku vyššího atmosférického CO</w:t>
      </w:r>
      <w:r w:rsidRPr="00D51FC2">
        <w:rPr>
          <w:bCs/>
          <w:color w:val="000000"/>
          <w:vertAlign w:val="subscript"/>
        </w:rPr>
        <w:t>2</w:t>
      </w:r>
      <w:r w:rsidRPr="00D51FC2">
        <w:rPr>
          <w:bCs/>
          <w:color w:val="000000"/>
        </w:rPr>
        <w:t>. Proto v atmosféře zůstane více emitovaného antropogenního CO</w:t>
      </w:r>
      <w:r w:rsidRPr="00D51FC2">
        <w:rPr>
          <w:bCs/>
          <w:color w:val="000000"/>
          <w:vertAlign w:val="subscript"/>
        </w:rPr>
        <w:t>2</w:t>
      </w:r>
      <w:r w:rsidRPr="00D51FC2">
        <w:rPr>
          <w:bCs/>
          <w:color w:val="000000"/>
        </w:rPr>
        <w:t>. Kladnou zpětnou vazbu mezi klimatem a uhlíkovým cyklem v měřítku století až tisíciletí podporují paleoklimatická pozorování a modelování. {6.2, 6.4}</w:t>
      </w:r>
    </w:p>
    <w:p w:rsidR="00D51FC2" w:rsidRPr="00D51FC2" w:rsidRDefault="00D51FC2" w:rsidP="00D51FC2">
      <w:pPr>
        <w:pStyle w:val="Bezmezer"/>
        <w:shd w:val="clear" w:color="auto" w:fill="FFFFFF"/>
        <w:ind w:right="79"/>
        <w:jc w:val="both"/>
        <w:rPr>
          <w:bCs/>
          <w:color w:val="000000"/>
        </w:rPr>
      </w:pPr>
    </w:p>
    <w:p w:rsidR="001641F4" w:rsidRDefault="00D51FC2" w:rsidP="001641F4">
      <w:pPr>
        <w:pStyle w:val="Bezmezer"/>
        <w:numPr>
          <w:ilvl w:val="0"/>
          <w:numId w:val="6"/>
        </w:numPr>
        <w:shd w:val="clear" w:color="auto" w:fill="FFFFFF"/>
        <w:ind w:left="426" w:right="79" w:hanging="426"/>
        <w:jc w:val="both"/>
        <w:rPr>
          <w:bCs/>
          <w:color w:val="000000"/>
        </w:rPr>
      </w:pPr>
      <w:r w:rsidRPr="00D51FC2">
        <w:rPr>
          <w:bCs/>
          <w:color w:val="000000"/>
        </w:rPr>
        <w:t>Modely ESM projektují globální zvýšení acidifikace oceánů u všech scénářů RCP. Odpovídající snížení hodnoty pH povrchových vod oceánu bude do konce 21. století v rozsahu</w:t>
      </w:r>
      <w:r w:rsidRPr="00D51FC2">
        <w:rPr>
          <w:bCs/>
          <w:color w:val="000000"/>
          <w:vertAlign w:val="superscript"/>
        </w:rPr>
        <w:t>13</w:t>
      </w:r>
      <w:r w:rsidRPr="00D51FC2">
        <w:rPr>
          <w:bCs/>
          <w:color w:val="000000"/>
        </w:rPr>
        <w:t xml:space="preserve"> 0,06 až 0,07 podle scénáře RCP2.6, 0,14 až 0,15 podle scénáře RCP4.5, 0,20 až 0,21 podle scénáře RCP6.0 a 0,30 až 0,32 podle scénáře RCP8.5 (viz obr. SPM.7 a SPM.8). {6.4}</w:t>
      </w:r>
    </w:p>
    <w:p w:rsidR="001641F4" w:rsidRDefault="001641F4" w:rsidP="001641F4">
      <w:pPr>
        <w:pStyle w:val="Odstavecseseznamem"/>
        <w:rPr>
          <w:bCs/>
          <w:color w:val="000000"/>
        </w:rPr>
      </w:pPr>
    </w:p>
    <w:p w:rsidR="001641F4" w:rsidRDefault="001641F4" w:rsidP="001641F4">
      <w:pPr>
        <w:pStyle w:val="Bezmezer"/>
        <w:shd w:val="clear" w:color="auto" w:fill="FFFFFF"/>
        <w:ind w:right="79"/>
        <w:jc w:val="both"/>
        <w:rPr>
          <w:bCs/>
          <w:color w:val="000000"/>
        </w:rPr>
      </w:pPr>
    </w:p>
    <w:p w:rsidR="001641F4" w:rsidRDefault="001641F4" w:rsidP="001641F4">
      <w:pPr>
        <w:pStyle w:val="Bezmezer"/>
        <w:shd w:val="clear" w:color="auto" w:fill="FFFFFF"/>
        <w:ind w:right="79"/>
        <w:jc w:val="both"/>
        <w:rPr>
          <w:bCs/>
          <w:color w:val="000000"/>
        </w:rPr>
      </w:pPr>
    </w:p>
    <w:p w:rsidR="00D115F6" w:rsidRDefault="00D115F6" w:rsidP="001641F4">
      <w:pPr>
        <w:pStyle w:val="Bezmezer"/>
        <w:shd w:val="clear" w:color="auto" w:fill="FFFFFF"/>
        <w:ind w:right="79"/>
        <w:jc w:val="both"/>
        <w:rPr>
          <w:bCs/>
          <w:color w:val="000000"/>
        </w:rPr>
      </w:pPr>
    </w:p>
    <w:p w:rsidR="00D115F6" w:rsidRPr="00D115F6" w:rsidRDefault="00D115F6" w:rsidP="00D115F6">
      <w:pPr>
        <w:shd w:val="clear" w:color="auto" w:fill="FFFFFF"/>
        <w:ind w:left="6"/>
        <w:jc w:val="both"/>
        <w:rPr>
          <w:bCs/>
          <w:color w:val="000000"/>
          <w:spacing w:val="-10"/>
          <w:sz w:val="16"/>
          <w:szCs w:val="16"/>
        </w:rPr>
      </w:pPr>
      <w:r w:rsidRPr="00D115F6">
        <w:rPr>
          <w:b/>
          <w:bCs/>
          <w:color w:val="000000"/>
          <w:spacing w:val="-10"/>
          <w:sz w:val="16"/>
          <w:szCs w:val="16"/>
        </w:rPr>
        <w:lastRenderedPageBreak/>
        <w:t>Tab</w:t>
      </w:r>
      <w:r w:rsidR="002900DC">
        <w:rPr>
          <w:b/>
          <w:bCs/>
          <w:color w:val="000000"/>
          <w:spacing w:val="-10"/>
          <w:sz w:val="16"/>
          <w:szCs w:val="16"/>
        </w:rPr>
        <w:t>.</w:t>
      </w:r>
      <w:r w:rsidRPr="00D115F6">
        <w:rPr>
          <w:b/>
          <w:bCs/>
          <w:color w:val="000000"/>
          <w:spacing w:val="-10"/>
          <w:sz w:val="16"/>
          <w:szCs w:val="16"/>
        </w:rPr>
        <w:t xml:space="preserve">SPM.3: </w:t>
      </w:r>
      <w:r w:rsidRPr="00D115F6">
        <w:rPr>
          <w:bCs/>
          <w:color w:val="000000"/>
          <w:spacing w:val="-10"/>
          <w:sz w:val="16"/>
          <w:szCs w:val="16"/>
        </w:rPr>
        <w:t xml:space="preserve"> Kumulativní </w:t>
      </w:r>
      <w:r w:rsidRPr="00D115F6">
        <w:rPr>
          <w:bCs/>
          <w:color w:val="000000"/>
          <w:sz w:val="16"/>
          <w:szCs w:val="16"/>
        </w:rPr>
        <w:t>emise CO</w:t>
      </w:r>
      <w:r w:rsidRPr="00D115F6">
        <w:rPr>
          <w:bCs/>
          <w:color w:val="000000"/>
          <w:sz w:val="16"/>
          <w:szCs w:val="16"/>
          <w:vertAlign w:val="subscript"/>
        </w:rPr>
        <w:t>2</w:t>
      </w:r>
      <w:r w:rsidRPr="00D115F6">
        <w:rPr>
          <w:bCs/>
          <w:color w:val="000000"/>
          <w:sz w:val="16"/>
          <w:szCs w:val="16"/>
        </w:rPr>
        <w:t xml:space="preserve"> pro období let 2012-2100 odpovídající atmosférickým koncentracím podle scénářů RCP, simulované pomocí modelů ESM v rámci CMIP5. </w:t>
      </w:r>
      <w:r w:rsidRPr="00D115F6">
        <w:rPr>
          <w:color w:val="000000"/>
          <w:spacing w:val="-9"/>
          <w:sz w:val="16"/>
          <w:szCs w:val="16"/>
        </w:rPr>
        <w:t>{6.4, tab. 6.12</w:t>
      </w:r>
      <w:r>
        <w:rPr>
          <w:color w:val="000000"/>
          <w:spacing w:val="-9"/>
          <w:sz w:val="16"/>
          <w:szCs w:val="16"/>
        </w:rPr>
        <w:t>, obr. TS.19</w:t>
      </w:r>
      <w:r w:rsidRPr="00D115F6">
        <w:rPr>
          <w:color w:val="000000"/>
          <w:spacing w:val="-9"/>
          <w:sz w:val="16"/>
          <w:szCs w:val="16"/>
        </w:rPr>
        <w:t>}</w:t>
      </w:r>
    </w:p>
    <w:p w:rsidR="001641F4" w:rsidRDefault="001641F4" w:rsidP="001641F4">
      <w:pPr>
        <w:pStyle w:val="Bezmezer"/>
        <w:shd w:val="clear" w:color="auto" w:fill="FFFFFF"/>
        <w:ind w:right="79"/>
        <w:jc w:val="both"/>
        <w:rPr>
          <w:bCs/>
          <w:color w:val="000000"/>
        </w:rPr>
      </w:pPr>
    </w:p>
    <w:tbl>
      <w:tblPr>
        <w:tblStyle w:val="Mkatabulky"/>
        <w:tblW w:w="0" w:type="auto"/>
        <w:jc w:val="center"/>
        <w:tblLook w:val="04A0" w:firstRow="1" w:lastRow="0" w:firstColumn="1" w:lastColumn="0" w:noHBand="0" w:noVBand="1"/>
      </w:tblPr>
      <w:tblGrid>
        <w:gridCol w:w="856"/>
        <w:gridCol w:w="856"/>
        <w:gridCol w:w="1265"/>
        <w:gridCol w:w="856"/>
        <w:gridCol w:w="1265"/>
      </w:tblGrid>
      <w:tr w:rsidR="001641F4" w:rsidRPr="001641F4" w:rsidTr="001641F4">
        <w:trPr>
          <w:jc w:val="center"/>
        </w:trPr>
        <w:tc>
          <w:tcPr>
            <w:tcW w:w="0" w:type="auto"/>
            <w:vMerge w:val="restart"/>
            <w:shd w:val="clear" w:color="auto" w:fill="B8CCE4" w:themeFill="accent1" w:themeFillTint="66"/>
            <w:vAlign w:val="center"/>
          </w:tcPr>
          <w:p w:rsidR="001641F4" w:rsidRPr="001641F4" w:rsidRDefault="001641F4" w:rsidP="001641F4">
            <w:pPr>
              <w:pStyle w:val="Bezmezer"/>
              <w:ind w:right="79"/>
              <w:jc w:val="center"/>
              <w:rPr>
                <w:b/>
                <w:bCs/>
                <w:color w:val="000000"/>
                <w:sz w:val="16"/>
                <w:szCs w:val="16"/>
              </w:rPr>
            </w:pPr>
            <w:r w:rsidRPr="001641F4">
              <w:rPr>
                <w:b/>
                <w:bCs/>
                <w:color w:val="000000"/>
                <w:sz w:val="16"/>
                <w:szCs w:val="16"/>
              </w:rPr>
              <w:t>Scénář</w:t>
            </w:r>
          </w:p>
        </w:tc>
        <w:tc>
          <w:tcPr>
            <w:tcW w:w="0" w:type="auto"/>
            <w:gridSpan w:val="4"/>
            <w:shd w:val="clear" w:color="auto" w:fill="B8CCE4" w:themeFill="accent1" w:themeFillTint="66"/>
            <w:vAlign w:val="center"/>
          </w:tcPr>
          <w:p w:rsidR="001641F4" w:rsidRPr="001641F4" w:rsidRDefault="001641F4" w:rsidP="001641F4">
            <w:pPr>
              <w:pStyle w:val="Bezmezer"/>
              <w:ind w:right="79"/>
              <w:jc w:val="center"/>
              <w:rPr>
                <w:b/>
                <w:bCs/>
                <w:color w:val="000000"/>
                <w:sz w:val="16"/>
                <w:szCs w:val="16"/>
                <w:vertAlign w:val="superscript"/>
              </w:rPr>
            </w:pPr>
            <w:r w:rsidRPr="001641F4">
              <w:rPr>
                <w:b/>
                <w:bCs/>
                <w:color w:val="000000"/>
                <w:sz w:val="16"/>
                <w:szCs w:val="16"/>
              </w:rPr>
              <w:t>Kumulativní emise CO</w:t>
            </w:r>
            <w:r w:rsidRPr="001641F4">
              <w:rPr>
                <w:b/>
                <w:bCs/>
                <w:color w:val="000000"/>
                <w:sz w:val="16"/>
                <w:szCs w:val="16"/>
                <w:vertAlign w:val="subscript"/>
              </w:rPr>
              <w:t>2</w:t>
            </w:r>
            <w:r w:rsidRPr="001641F4">
              <w:rPr>
                <w:b/>
                <w:bCs/>
                <w:color w:val="000000"/>
                <w:sz w:val="16"/>
                <w:szCs w:val="16"/>
              </w:rPr>
              <w:t xml:space="preserve"> v období let 2012 až 2100</w:t>
            </w:r>
            <w:r>
              <w:rPr>
                <w:b/>
                <w:bCs/>
                <w:color w:val="000000"/>
                <w:sz w:val="16"/>
                <w:szCs w:val="16"/>
                <w:vertAlign w:val="superscript"/>
              </w:rPr>
              <w:t>a</w:t>
            </w:r>
          </w:p>
        </w:tc>
      </w:tr>
      <w:tr w:rsidR="001641F4" w:rsidRPr="001641F4" w:rsidTr="001641F4">
        <w:trPr>
          <w:jc w:val="center"/>
        </w:trPr>
        <w:tc>
          <w:tcPr>
            <w:tcW w:w="0" w:type="auto"/>
            <w:vMerge/>
            <w:shd w:val="clear" w:color="auto" w:fill="B8CCE4" w:themeFill="accent1" w:themeFillTint="66"/>
            <w:vAlign w:val="center"/>
          </w:tcPr>
          <w:p w:rsidR="001641F4" w:rsidRPr="001641F4" w:rsidRDefault="001641F4" w:rsidP="001641F4">
            <w:pPr>
              <w:pStyle w:val="Bezmezer"/>
              <w:ind w:right="79"/>
              <w:jc w:val="center"/>
              <w:rPr>
                <w:b/>
                <w:bCs/>
                <w:color w:val="000000"/>
                <w:sz w:val="16"/>
                <w:szCs w:val="16"/>
              </w:rPr>
            </w:pPr>
          </w:p>
        </w:tc>
        <w:tc>
          <w:tcPr>
            <w:tcW w:w="0" w:type="auto"/>
            <w:gridSpan w:val="2"/>
            <w:shd w:val="clear" w:color="auto" w:fill="B8CCE4" w:themeFill="accent1" w:themeFillTint="66"/>
            <w:vAlign w:val="center"/>
          </w:tcPr>
          <w:p w:rsidR="001641F4" w:rsidRPr="001641F4" w:rsidRDefault="001641F4" w:rsidP="001641F4">
            <w:pPr>
              <w:pStyle w:val="Bezmezer"/>
              <w:ind w:right="79"/>
              <w:jc w:val="center"/>
              <w:rPr>
                <w:b/>
                <w:bCs/>
                <w:color w:val="000000"/>
                <w:sz w:val="16"/>
                <w:szCs w:val="16"/>
              </w:rPr>
            </w:pPr>
            <w:r>
              <w:rPr>
                <w:b/>
                <w:bCs/>
                <w:color w:val="000000"/>
                <w:sz w:val="16"/>
                <w:szCs w:val="16"/>
              </w:rPr>
              <w:t>GtC</w:t>
            </w:r>
          </w:p>
        </w:tc>
        <w:tc>
          <w:tcPr>
            <w:tcW w:w="0" w:type="auto"/>
            <w:gridSpan w:val="2"/>
            <w:shd w:val="clear" w:color="auto" w:fill="B8CCE4" w:themeFill="accent1" w:themeFillTint="66"/>
            <w:vAlign w:val="center"/>
          </w:tcPr>
          <w:p w:rsidR="001641F4" w:rsidRPr="001641F4" w:rsidRDefault="001641F4" w:rsidP="001641F4">
            <w:pPr>
              <w:pStyle w:val="Bezmezer"/>
              <w:ind w:right="79"/>
              <w:jc w:val="center"/>
              <w:rPr>
                <w:b/>
                <w:bCs/>
                <w:color w:val="000000"/>
                <w:sz w:val="16"/>
                <w:szCs w:val="16"/>
                <w:vertAlign w:val="subscript"/>
              </w:rPr>
            </w:pPr>
            <w:r>
              <w:rPr>
                <w:b/>
                <w:bCs/>
                <w:color w:val="000000"/>
                <w:sz w:val="16"/>
                <w:szCs w:val="16"/>
              </w:rPr>
              <w:t>GtCO</w:t>
            </w:r>
            <w:r>
              <w:rPr>
                <w:b/>
                <w:bCs/>
                <w:color w:val="000000"/>
                <w:sz w:val="16"/>
                <w:szCs w:val="16"/>
                <w:vertAlign w:val="subscript"/>
              </w:rPr>
              <w:t>2</w:t>
            </w:r>
          </w:p>
        </w:tc>
      </w:tr>
      <w:tr w:rsidR="001641F4" w:rsidRPr="001641F4" w:rsidTr="001641F4">
        <w:trPr>
          <w:jc w:val="center"/>
        </w:trPr>
        <w:tc>
          <w:tcPr>
            <w:tcW w:w="0" w:type="auto"/>
            <w:vMerge/>
            <w:tcBorders>
              <w:bottom w:val="single" w:sz="4" w:space="0" w:color="auto"/>
            </w:tcBorders>
            <w:shd w:val="clear" w:color="auto" w:fill="B8CCE4" w:themeFill="accent1" w:themeFillTint="66"/>
            <w:vAlign w:val="center"/>
          </w:tcPr>
          <w:p w:rsidR="001641F4" w:rsidRPr="001641F4" w:rsidRDefault="001641F4" w:rsidP="001641F4">
            <w:pPr>
              <w:pStyle w:val="Bezmezer"/>
              <w:ind w:right="79"/>
              <w:jc w:val="center"/>
              <w:rPr>
                <w:b/>
                <w:bCs/>
                <w:color w:val="000000"/>
                <w:sz w:val="16"/>
                <w:szCs w:val="16"/>
              </w:rPr>
            </w:pPr>
          </w:p>
        </w:tc>
        <w:tc>
          <w:tcPr>
            <w:tcW w:w="0" w:type="auto"/>
            <w:tcBorders>
              <w:bottom w:val="single" w:sz="4" w:space="0" w:color="auto"/>
            </w:tcBorders>
            <w:shd w:val="clear" w:color="auto" w:fill="B8CCE4" w:themeFill="accent1" w:themeFillTint="66"/>
            <w:vAlign w:val="center"/>
          </w:tcPr>
          <w:p w:rsidR="001641F4" w:rsidRPr="001641F4" w:rsidRDefault="001641F4" w:rsidP="001641F4">
            <w:pPr>
              <w:pStyle w:val="Bezmezer"/>
              <w:ind w:right="79"/>
              <w:jc w:val="center"/>
              <w:rPr>
                <w:b/>
                <w:bCs/>
                <w:color w:val="000000"/>
                <w:sz w:val="16"/>
                <w:szCs w:val="16"/>
              </w:rPr>
            </w:pPr>
            <w:r>
              <w:rPr>
                <w:b/>
                <w:bCs/>
                <w:color w:val="000000"/>
                <w:sz w:val="16"/>
                <w:szCs w:val="16"/>
              </w:rPr>
              <w:t>Průměr</w:t>
            </w:r>
          </w:p>
        </w:tc>
        <w:tc>
          <w:tcPr>
            <w:tcW w:w="0" w:type="auto"/>
            <w:tcBorders>
              <w:bottom w:val="single" w:sz="4" w:space="0" w:color="auto"/>
            </w:tcBorders>
            <w:shd w:val="clear" w:color="auto" w:fill="B8CCE4" w:themeFill="accent1" w:themeFillTint="66"/>
            <w:vAlign w:val="center"/>
          </w:tcPr>
          <w:p w:rsidR="001641F4" w:rsidRPr="001641F4" w:rsidRDefault="001641F4" w:rsidP="001641F4">
            <w:pPr>
              <w:pStyle w:val="Bezmezer"/>
              <w:ind w:right="79"/>
              <w:jc w:val="center"/>
              <w:rPr>
                <w:b/>
                <w:bCs/>
                <w:color w:val="000000"/>
                <w:sz w:val="16"/>
                <w:szCs w:val="16"/>
              </w:rPr>
            </w:pPr>
            <w:r>
              <w:rPr>
                <w:b/>
                <w:bCs/>
                <w:color w:val="000000"/>
                <w:sz w:val="16"/>
                <w:szCs w:val="16"/>
              </w:rPr>
              <w:t>Rozsah</w:t>
            </w:r>
          </w:p>
        </w:tc>
        <w:tc>
          <w:tcPr>
            <w:tcW w:w="0" w:type="auto"/>
            <w:tcBorders>
              <w:bottom w:val="single" w:sz="4" w:space="0" w:color="auto"/>
            </w:tcBorders>
            <w:shd w:val="clear" w:color="auto" w:fill="B8CCE4" w:themeFill="accent1" w:themeFillTint="66"/>
            <w:vAlign w:val="center"/>
          </w:tcPr>
          <w:p w:rsidR="001641F4" w:rsidRPr="001641F4" w:rsidRDefault="001641F4" w:rsidP="001641F4">
            <w:pPr>
              <w:pStyle w:val="Bezmezer"/>
              <w:ind w:right="79"/>
              <w:jc w:val="center"/>
              <w:rPr>
                <w:b/>
                <w:bCs/>
                <w:color w:val="000000"/>
                <w:sz w:val="16"/>
                <w:szCs w:val="16"/>
              </w:rPr>
            </w:pPr>
            <w:r>
              <w:rPr>
                <w:b/>
                <w:bCs/>
                <w:color w:val="000000"/>
                <w:sz w:val="16"/>
                <w:szCs w:val="16"/>
              </w:rPr>
              <w:t>Průměr</w:t>
            </w:r>
          </w:p>
        </w:tc>
        <w:tc>
          <w:tcPr>
            <w:tcW w:w="0" w:type="auto"/>
            <w:tcBorders>
              <w:bottom w:val="single" w:sz="4" w:space="0" w:color="auto"/>
            </w:tcBorders>
            <w:shd w:val="clear" w:color="auto" w:fill="B8CCE4" w:themeFill="accent1" w:themeFillTint="66"/>
            <w:vAlign w:val="center"/>
          </w:tcPr>
          <w:p w:rsidR="001641F4" w:rsidRPr="001641F4" w:rsidRDefault="001641F4" w:rsidP="001641F4">
            <w:pPr>
              <w:pStyle w:val="Bezmezer"/>
              <w:ind w:right="79"/>
              <w:jc w:val="center"/>
              <w:rPr>
                <w:b/>
                <w:bCs/>
                <w:color w:val="000000"/>
                <w:sz w:val="16"/>
                <w:szCs w:val="16"/>
              </w:rPr>
            </w:pPr>
            <w:r>
              <w:rPr>
                <w:b/>
                <w:bCs/>
                <w:color w:val="000000"/>
                <w:sz w:val="16"/>
                <w:szCs w:val="16"/>
              </w:rPr>
              <w:t>Rozsah</w:t>
            </w:r>
          </w:p>
        </w:tc>
      </w:tr>
      <w:tr w:rsidR="001641F4" w:rsidTr="001641F4">
        <w:trPr>
          <w:jc w:val="center"/>
        </w:trPr>
        <w:tc>
          <w:tcPr>
            <w:tcW w:w="0" w:type="auto"/>
            <w:tcBorders>
              <w:bottom w:val="nil"/>
            </w:tcBorders>
            <w:shd w:val="clear" w:color="auto" w:fill="FDE9D9" w:themeFill="accent6" w:themeFillTint="33"/>
            <w:vAlign w:val="center"/>
          </w:tcPr>
          <w:p w:rsidR="001641F4" w:rsidRPr="001641F4" w:rsidRDefault="001641F4" w:rsidP="001641F4">
            <w:pPr>
              <w:pStyle w:val="Bezmezer"/>
              <w:ind w:right="79"/>
              <w:jc w:val="center"/>
              <w:rPr>
                <w:bCs/>
                <w:color w:val="000000"/>
                <w:sz w:val="16"/>
                <w:szCs w:val="16"/>
              </w:rPr>
            </w:pPr>
            <w:r>
              <w:rPr>
                <w:bCs/>
                <w:color w:val="000000"/>
                <w:sz w:val="16"/>
                <w:szCs w:val="16"/>
              </w:rPr>
              <w:t>RCP2.6</w:t>
            </w:r>
          </w:p>
        </w:tc>
        <w:tc>
          <w:tcPr>
            <w:tcW w:w="0" w:type="auto"/>
            <w:tcBorders>
              <w:bottom w:val="nil"/>
            </w:tcBorders>
            <w:shd w:val="clear" w:color="auto" w:fill="FDE9D9" w:themeFill="accent6" w:themeFillTint="33"/>
            <w:vAlign w:val="center"/>
          </w:tcPr>
          <w:p w:rsidR="001641F4" w:rsidRPr="001641F4" w:rsidRDefault="001641F4" w:rsidP="001641F4">
            <w:pPr>
              <w:pStyle w:val="Bezmezer"/>
              <w:ind w:right="79"/>
              <w:jc w:val="center"/>
              <w:rPr>
                <w:bCs/>
                <w:color w:val="000000"/>
                <w:sz w:val="16"/>
                <w:szCs w:val="16"/>
              </w:rPr>
            </w:pPr>
            <w:r>
              <w:rPr>
                <w:bCs/>
                <w:color w:val="000000"/>
                <w:sz w:val="16"/>
                <w:szCs w:val="16"/>
              </w:rPr>
              <w:t>270</w:t>
            </w:r>
          </w:p>
        </w:tc>
        <w:tc>
          <w:tcPr>
            <w:tcW w:w="0" w:type="auto"/>
            <w:tcBorders>
              <w:bottom w:val="nil"/>
            </w:tcBorders>
            <w:shd w:val="clear" w:color="auto" w:fill="FDE9D9" w:themeFill="accent6" w:themeFillTint="33"/>
            <w:vAlign w:val="center"/>
          </w:tcPr>
          <w:p w:rsidR="001641F4" w:rsidRPr="001641F4" w:rsidRDefault="001641F4" w:rsidP="001641F4">
            <w:pPr>
              <w:pStyle w:val="Bezmezer"/>
              <w:ind w:right="79"/>
              <w:jc w:val="center"/>
              <w:rPr>
                <w:bCs/>
                <w:color w:val="000000"/>
                <w:sz w:val="16"/>
                <w:szCs w:val="16"/>
              </w:rPr>
            </w:pPr>
            <w:r>
              <w:rPr>
                <w:bCs/>
                <w:color w:val="000000"/>
                <w:sz w:val="16"/>
                <w:szCs w:val="16"/>
              </w:rPr>
              <w:t>140 až 410</w:t>
            </w:r>
          </w:p>
        </w:tc>
        <w:tc>
          <w:tcPr>
            <w:tcW w:w="0" w:type="auto"/>
            <w:tcBorders>
              <w:bottom w:val="nil"/>
            </w:tcBorders>
            <w:shd w:val="clear" w:color="auto" w:fill="FDE9D9" w:themeFill="accent6" w:themeFillTint="33"/>
            <w:vAlign w:val="center"/>
          </w:tcPr>
          <w:p w:rsidR="001641F4" w:rsidRPr="001641F4" w:rsidRDefault="001641F4" w:rsidP="001641F4">
            <w:pPr>
              <w:pStyle w:val="Bezmezer"/>
              <w:ind w:right="79"/>
              <w:jc w:val="center"/>
              <w:rPr>
                <w:bCs/>
                <w:color w:val="000000"/>
                <w:sz w:val="16"/>
                <w:szCs w:val="16"/>
              </w:rPr>
            </w:pPr>
            <w:r>
              <w:rPr>
                <w:bCs/>
                <w:color w:val="000000"/>
                <w:sz w:val="16"/>
                <w:szCs w:val="16"/>
              </w:rPr>
              <w:t>990</w:t>
            </w:r>
          </w:p>
        </w:tc>
        <w:tc>
          <w:tcPr>
            <w:tcW w:w="0" w:type="auto"/>
            <w:tcBorders>
              <w:bottom w:val="nil"/>
            </w:tcBorders>
            <w:shd w:val="clear" w:color="auto" w:fill="FDE9D9" w:themeFill="accent6" w:themeFillTint="33"/>
            <w:vAlign w:val="center"/>
          </w:tcPr>
          <w:p w:rsidR="001641F4" w:rsidRPr="001641F4" w:rsidRDefault="001641F4" w:rsidP="001641F4">
            <w:pPr>
              <w:pStyle w:val="Bezmezer"/>
              <w:ind w:right="79"/>
              <w:jc w:val="center"/>
              <w:rPr>
                <w:bCs/>
                <w:color w:val="000000"/>
                <w:sz w:val="16"/>
                <w:szCs w:val="16"/>
              </w:rPr>
            </w:pPr>
            <w:r>
              <w:rPr>
                <w:bCs/>
                <w:color w:val="000000"/>
                <w:sz w:val="16"/>
                <w:szCs w:val="16"/>
              </w:rPr>
              <w:t>510 až 1505</w:t>
            </w:r>
          </w:p>
        </w:tc>
      </w:tr>
      <w:tr w:rsidR="001641F4" w:rsidTr="001641F4">
        <w:trPr>
          <w:jc w:val="center"/>
        </w:trPr>
        <w:tc>
          <w:tcPr>
            <w:tcW w:w="0" w:type="auto"/>
            <w:tcBorders>
              <w:top w:val="nil"/>
              <w:bottom w:val="nil"/>
            </w:tcBorders>
            <w:vAlign w:val="center"/>
          </w:tcPr>
          <w:p w:rsidR="001641F4" w:rsidRPr="001641F4" w:rsidRDefault="001641F4" w:rsidP="001641F4">
            <w:pPr>
              <w:pStyle w:val="Bezmezer"/>
              <w:ind w:right="79"/>
              <w:jc w:val="center"/>
              <w:rPr>
                <w:bCs/>
                <w:color w:val="000000"/>
                <w:sz w:val="16"/>
                <w:szCs w:val="16"/>
              </w:rPr>
            </w:pPr>
            <w:r>
              <w:rPr>
                <w:bCs/>
                <w:color w:val="000000"/>
                <w:sz w:val="16"/>
                <w:szCs w:val="16"/>
              </w:rPr>
              <w:t>RCP4.5</w:t>
            </w:r>
          </w:p>
        </w:tc>
        <w:tc>
          <w:tcPr>
            <w:tcW w:w="0" w:type="auto"/>
            <w:tcBorders>
              <w:top w:val="nil"/>
              <w:bottom w:val="nil"/>
            </w:tcBorders>
            <w:vAlign w:val="center"/>
          </w:tcPr>
          <w:p w:rsidR="001641F4" w:rsidRPr="001641F4" w:rsidRDefault="001641F4" w:rsidP="001641F4">
            <w:pPr>
              <w:pStyle w:val="Bezmezer"/>
              <w:ind w:right="79"/>
              <w:jc w:val="center"/>
              <w:rPr>
                <w:bCs/>
                <w:color w:val="000000"/>
                <w:sz w:val="16"/>
                <w:szCs w:val="16"/>
              </w:rPr>
            </w:pPr>
            <w:r>
              <w:rPr>
                <w:bCs/>
                <w:color w:val="000000"/>
                <w:sz w:val="16"/>
                <w:szCs w:val="16"/>
              </w:rPr>
              <w:t>780</w:t>
            </w:r>
          </w:p>
        </w:tc>
        <w:tc>
          <w:tcPr>
            <w:tcW w:w="0" w:type="auto"/>
            <w:tcBorders>
              <w:top w:val="nil"/>
              <w:bottom w:val="nil"/>
            </w:tcBorders>
            <w:vAlign w:val="center"/>
          </w:tcPr>
          <w:p w:rsidR="001641F4" w:rsidRPr="001641F4" w:rsidRDefault="001641F4" w:rsidP="001641F4">
            <w:pPr>
              <w:pStyle w:val="Bezmezer"/>
              <w:ind w:right="79"/>
              <w:jc w:val="center"/>
              <w:rPr>
                <w:bCs/>
                <w:color w:val="000000"/>
                <w:sz w:val="16"/>
                <w:szCs w:val="16"/>
              </w:rPr>
            </w:pPr>
            <w:r>
              <w:rPr>
                <w:bCs/>
                <w:color w:val="000000"/>
                <w:sz w:val="16"/>
                <w:szCs w:val="16"/>
              </w:rPr>
              <w:t>595 až 1005</w:t>
            </w:r>
          </w:p>
        </w:tc>
        <w:tc>
          <w:tcPr>
            <w:tcW w:w="0" w:type="auto"/>
            <w:tcBorders>
              <w:top w:val="nil"/>
              <w:bottom w:val="nil"/>
            </w:tcBorders>
            <w:vAlign w:val="center"/>
          </w:tcPr>
          <w:p w:rsidR="001641F4" w:rsidRPr="001641F4" w:rsidRDefault="001641F4" w:rsidP="001641F4">
            <w:pPr>
              <w:pStyle w:val="Bezmezer"/>
              <w:ind w:right="79"/>
              <w:jc w:val="center"/>
              <w:rPr>
                <w:bCs/>
                <w:color w:val="000000"/>
                <w:sz w:val="16"/>
                <w:szCs w:val="16"/>
              </w:rPr>
            </w:pPr>
            <w:r>
              <w:rPr>
                <w:bCs/>
                <w:color w:val="000000"/>
                <w:sz w:val="16"/>
                <w:szCs w:val="16"/>
              </w:rPr>
              <w:t>2860</w:t>
            </w:r>
          </w:p>
        </w:tc>
        <w:tc>
          <w:tcPr>
            <w:tcW w:w="0" w:type="auto"/>
            <w:tcBorders>
              <w:top w:val="nil"/>
              <w:bottom w:val="nil"/>
            </w:tcBorders>
            <w:vAlign w:val="center"/>
          </w:tcPr>
          <w:p w:rsidR="001641F4" w:rsidRPr="001641F4" w:rsidRDefault="001641F4" w:rsidP="001641F4">
            <w:pPr>
              <w:pStyle w:val="Bezmezer"/>
              <w:ind w:right="79"/>
              <w:jc w:val="center"/>
              <w:rPr>
                <w:bCs/>
                <w:color w:val="000000"/>
                <w:sz w:val="16"/>
                <w:szCs w:val="16"/>
              </w:rPr>
            </w:pPr>
            <w:r>
              <w:rPr>
                <w:bCs/>
                <w:color w:val="000000"/>
                <w:sz w:val="16"/>
                <w:szCs w:val="16"/>
              </w:rPr>
              <w:t>2180 až 3690</w:t>
            </w:r>
          </w:p>
        </w:tc>
      </w:tr>
      <w:tr w:rsidR="001641F4" w:rsidTr="001641F4">
        <w:trPr>
          <w:jc w:val="center"/>
        </w:trPr>
        <w:tc>
          <w:tcPr>
            <w:tcW w:w="0" w:type="auto"/>
            <w:tcBorders>
              <w:top w:val="nil"/>
              <w:bottom w:val="nil"/>
            </w:tcBorders>
            <w:shd w:val="clear" w:color="auto" w:fill="FDE9D9" w:themeFill="accent6" w:themeFillTint="33"/>
            <w:vAlign w:val="center"/>
          </w:tcPr>
          <w:p w:rsidR="001641F4" w:rsidRPr="001641F4" w:rsidRDefault="001641F4" w:rsidP="001641F4">
            <w:pPr>
              <w:pStyle w:val="Bezmezer"/>
              <w:ind w:right="79"/>
              <w:jc w:val="center"/>
              <w:rPr>
                <w:bCs/>
                <w:color w:val="000000"/>
                <w:sz w:val="16"/>
                <w:szCs w:val="16"/>
              </w:rPr>
            </w:pPr>
            <w:r>
              <w:rPr>
                <w:bCs/>
                <w:color w:val="000000"/>
                <w:sz w:val="16"/>
                <w:szCs w:val="16"/>
              </w:rPr>
              <w:t>RCP6.0</w:t>
            </w:r>
          </w:p>
        </w:tc>
        <w:tc>
          <w:tcPr>
            <w:tcW w:w="0" w:type="auto"/>
            <w:tcBorders>
              <w:top w:val="nil"/>
              <w:bottom w:val="nil"/>
            </w:tcBorders>
            <w:shd w:val="clear" w:color="auto" w:fill="FDE9D9" w:themeFill="accent6" w:themeFillTint="33"/>
            <w:vAlign w:val="center"/>
          </w:tcPr>
          <w:p w:rsidR="001641F4" w:rsidRPr="001641F4" w:rsidRDefault="001641F4" w:rsidP="001641F4">
            <w:pPr>
              <w:pStyle w:val="Bezmezer"/>
              <w:ind w:right="79"/>
              <w:jc w:val="center"/>
              <w:rPr>
                <w:bCs/>
                <w:color w:val="000000"/>
                <w:sz w:val="16"/>
                <w:szCs w:val="16"/>
              </w:rPr>
            </w:pPr>
            <w:r>
              <w:rPr>
                <w:bCs/>
                <w:color w:val="000000"/>
                <w:sz w:val="16"/>
                <w:szCs w:val="16"/>
              </w:rPr>
              <w:t>1060</w:t>
            </w:r>
          </w:p>
        </w:tc>
        <w:tc>
          <w:tcPr>
            <w:tcW w:w="0" w:type="auto"/>
            <w:tcBorders>
              <w:top w:val="nil"/>
              <w:bottom w:val="nil"/>
            </w:tcBorders>
            <w:shd w:val="clear" w:color="auto" w:fill="FDE9D9" w:themeFill="accent6" w:themeFillTint="33"/>
            <w:vAlign w:val="center"/>
          </w:tcPr>
          <w:p w:rsidR="001641F4" w:rsidRPr="001641F4" w:rsidRDefault="001641F4" w:rsidP="001641F4">
            <w:pPr>
              <w:pStyle w:val="Bezmezer"/>
              <w:ind w:right="79"/>
              <w:jc w:val="center"/>
              <w:rPr>
                <w:bCs/>
                <w:color w:val="000000"/>
                <w:sz w:val="16"/>
                <w:szCs w:val="16"/>
              </w:rPr>
            </w:pPr>
            <w:r>
              <w:rPr>
                <w:bCs/>
                <w:color w:val="000000"/>
                <w:sz w:val="16"/>
                <w:szCs w:val="16"/>
              </w:rPr>
              <w:t>840 až 1250</w:t>
            </w:r>
          </w:p>
        </w:tc>
        <w:tc>
          <w:tcPr>
            <w:tcW w:w="0" w:type="auto"/>
            <w:tcBorders>
              <w:top w:val="nil"/>
              <w:bottom w:val="nil"/>
            </w:tcBorders>
            <w:shd w:val="clear" w:color="auto" w:fill="FDE9D9" w:themeFill="accent6" w:themeFillTint="33"/>
            <w:vAlign w:val="center"/>
          </w:tcPr>
          <w:p w:rsidR="001641F4" w:rsidRPr="001641F4" w:rsidRDefault="001641F4" w:rsidP="001641F4">
            <w:pPr>
              <w:pStyle w:val="Bezmezer"/>
              <w:ind w:right="79"/>
              <w:jc w:val="center"/>
              <w:rPr>
                <w:bCs/>
                <w:color w:val="000000"/>
                <w:sz w:val="16"/>
                <w:szCs w:val="16"/>
              </w:rPr>
            </w:pPr>
            <w:r>
              <w:rPr>
                <w:bCs/>
                <w:color w:val="000000"/>
                <w:sz w:val="16"/>
                <w:szCs w:val="16"/>
              </w:rPr>
              <w:t>3885</w:t>
            </w:r>
          </w:p>
        </w:tc>
        <w:tc>
          <w:tcPr>
            <w:tcW w:w="0" w:type="auto"/>
            <w:tcBorders>
              <w:top w:val="nil"/>
              <w:bottom w:val="nil"/>
            </w:tcBorders>
            <w:shd w:val="clear" w:color="auto" w:fill="FDE9D9" w:themeFill="accent6" w:themeFillTint="33"/>
            <w:vAlign w:val="center"/>
          </w:tcPr>
          <w:p w:rsidR="001641F4" w:rsidRPr="001641F4" w:rsidRDefault="001641F4" w:rsidP="001641F4">
            <w:pPr>
              <w:pStyle w:val="Bezmezer"/>
              <w:ind w:right="79"/>
              <w:jc w:val="center"/>
              <w:rPr>
                <w:bCs/>
                <w:color w:val="000000"/>
                <w:sz w:val="16"/>
                <w:szCs w:val="16"/>
              </w:rPr>
            </w:pPr>
            <w:r>
              <w:rPr>
                <w:bCs/>
                <w:color w:val="000000"/>
                <w:sz w:val="16"/>
                <w:szCs w:val="16"/>
              </w:rPr>
              <w:t>3080 až 4585</w:t>
            </w:r>
          </w:p>
        </w:tc>
      </w:tr>
      <w:tr w:rsidR="001641F4" w:rsidTr="001641F4">
        <w:trPr>
          <w:jc w:val="center"/>
        </w:trPr>
        <w:tc>
          <w:tcPr>
            <w:tcW w:w="0" w:type="auto"/>
            <w:tcBorders>
              <w:top w:val="nil"/>
            </w:tcBorders>
            <w:vAlign w:val="center"/>
          </w:tcPr>
          <w:p w:rsidR="001641F4" w:rsidRPr="001641F4" w:rsidRDefault="001641F4" w:rsidP="001641F4">
            <w:pPr>
              <w:pStyle w:val="Bezmezer"/>
              <w:ind w:right="79"/>
              <w:jc w:val="center"/>
              <w:rPr>
                <w:bCs/>
                <w:color w:val="000000"/>
                <w:sz w:val="16"/>
                <w:szCs w:val="16"/>
              </w:rPr>
            </w:pPr>
            <w:r>
              <w:rPr>
                <w:bCs/>
                <w:color w:val="000000"/>
                <w:sz w:val="16"/>
                <w:szCs w:val="16"/>
              </w:rPr>
              <w:t>RCP8.5</w:t>
            </w:r>
          </w:p>
        </w:tc>
        <w:tc>
          <w:tcPr>
            <w:tcW w:w="0" w:type="auto"/>
            <w:tcBorders>
              <w:top w:val="nil"/>
            </w:tcBorders>
            <w:vAlign w:val="center"/>
          </w:tcPr>
          <w:p w:rsidR="001641F4" w:rsidRPr="001641F4" w:rsidRDefault="001641F4" w:rsidP="001641F4">
            <w:pPr>
              <w:pStyle w:val="Bezmezer"/>
              <w:ind w:right="79"/>
              <w:jc w:val="center"/>
              <w:rPr>
                <w:bCs/>
                <w:color w:val="000000"/>
                <w:sz w:val="16"/>
                <w:szCs w:val="16"/>
              </w:rPr>
            </w:pPr>
            <w:r>
              <w:rPr>
                <w:bCs/>
                <w:color w:val="000000"/>
                <w:sz w:val="16"/>
                <w:szCs w:val="16"/>
              </w:rPr>
              <w:t>1685</w:t>
            </w:r>
          </w:p>
        </w:tc>
        <w:tc>
          <w:tcPr>
            <w:tcW w:w="0" w:type="auto"/>
            <w:tcBorders>
              <w:top w:val="nil"/>
            </w:tcBorders>
            <w:vAlign w:val="center"/>
          </w:tcPr>
          <w:p w:rsidR="001641F4" w:rsidRPr="001641F4" w:rsidRDefault="001641F4" w:rsidP="001641F4">
            <w:pPr>
              <w:pStyle w:val="Bezmezer"/>
              <w:ind w:right="79"/>
              <w:jc w:val="center"/>
              <w:rPr>
                <w:bCs/>
                <w:color w:val="000000"/>
                <w:sz w:val="16"/>
                <w:szCs w:val="16"/>
              </w:rPr>
            </w:pPr>
            <w:r>
              <w:rPr>
                <w:bCs/>
                <w:color w:val="000000"/>
                <w:sz w:val="16"/>
                <w:szCs w:val="16"/>
              </w:rPr>
              <w:t>1415 až 1910</w:t>
            </w:r>
          </w:p>
        </w:tc>
        <w:tc>
          <w:tcPr>
            <w:tcW w:w="0" w:type="auto"/>
            <w:tcBorders>
              <w:top w:val="nil"/>
            </w:tcBorders>
            <w:vAlign w:val="center"/>
          </w:tcPr>
          <w:p w:rsidR="001641F4" w:rsidRPr="001641F4" w:rsidRDefault="001641F4" w:rsidP="001641F4">
            <w:pPr>
              <w:pStyle w:val="Bezmezer"/>
              <w:ind w:right="79"/>
              <w:jc w:val="center"/>
              <w:rPr>
                <w:bCs/>
                <w:color w:val="000000"/>
                <w:sz w:val="16"/>
                <w:szCs w:val="16"/>
              </w:rPr>
            </w:pPr>
            <w:r>
              <w:rPr>
                <w:bCs/>
                <w:color w:val="000000"/>
                <w:sz w:val="16"/>
                <w:szCs w:val="16"/>
              </w:rPr>
              <w:t>6180</w:t>
            </w:r>
          </w:p>
        </w:tc>
        <w:tc>
          <w:tcPr>
            <w:tcW w:w="0" w:type="auto"/>
            <w:tcBorders>
              <w:top w:val="nil"/>
            </w:tcBorders>
            <w:vAlign w:val="center"/>
          </w:tcPr>
          <w:p w:rsidR="001641F4" w:rsidRPr="001641F4" w:rsidRDefault="001641F4" w:rsidP="001641F4">
            <w:pPr>
              <w:pStyle w:val="Bezmezer"/>
              <w:ind w:right="79"/>
              <w:jc w:val="center"/>
              <w:rPr>
                <w:bCs/>
                <w:color w:val="000000"/>
                <w:sz w:val="16"/>
                <w:szCs w:val="16"/>
              </w:rPr>
            </w:pPr>
            <w:r>
              <w:rPr>
                <w:bCs/>
                <w:color w:val="000000"/>
                <w:sz w:val="16"/>
                <w:szCs w:val="16"/>
              </w:rPr>
              <w:t>5185 až 7005</w:t>
            </w:r>
          </w:p>
        </w:tc>
      </w:tr>
    </w:tbl>
    <w:p w:rsidR="00D115F6" w:rsidRPr="00D115F6" w:rsidRDefault="00D115F6" w:rsidP="00D115F6">
      <w:pPr>
        <w:pStyle w:val="Bezmezer"/>
        <w:ind w:left="2484"/>
        <w:rPr>
          <w:sz w:val="16"/>
          <w:szCs w:val="16"/>
        </w:rPr>
      </w:pPr>
      <w:r w:rsidRPr="00D115F6">
        <w:rPr>
          <w:sz w:val="16"/>
          <w:szCs w:val="16"/>
        </w:rPr>
        <w:t>Poznámky:</w:t>
      </w:r>
    </w:p>
    <w:p w:rsidR="00D115F6" w:rsidRPr="00D115F6" w:rsidRDefault="00D115F6" w:rsidP="00D115F6">
      <w:pPr>
        <w:pStyle w:val="Bezmezer"/>
        <w:ind w:left="2484"/>
        <w:rPr>
          <w:sz w:val="16"/>
          <w:szCs w:val="16"/>
        </w:rPr>
      </w:pPr>
      <w:r>
        <w:rPr>
          <w:sz w:val="16"/>
          <w:szCs w:val="16"/>
          <w:vertAlign w:val="superscript"/>
        </w:rPr>
        <w:t xml:space="preserve">a </w:t>
      </w:r>
      <w:r>
        <w:rPr>
          <w:sz w:val="16"/>
          <w:szCs w:val="16"/>
        </w:rPr>
        <w:t xml:space="preserve"> </w:t>
      </w:r>
      <w:r w:rsidRPr="00D115F6">
        <w:rPr>
          <w:sz w:val="16"/>
          <w:szCs w:val="16"/>
        </w:rPr>
        <w:t xml:space="preserve">1 gigatuna uhlíku </w:t>
      </w:r>
      <w:r>
        <w:rPr>
          <w:sz w:val="16"/>
          <w:szCs w:val="16"/>
        </w:rPr>
        <w:t xml:space="preserve">= 1 GtC = </w:t>
      </w:r>
      <w:r w:rsidRPr="00D115F6">
        <w:rPr>
          <w:sz w:val="16"/>
          <w:szCs w:val="16"/>
        </w:rPr>
        <w:t>10</w:t>
      </w:r>
      <w:r w:rsidRPr="00D115F6">
        <w:rPr>
          <w:sz w:val="16"/>
          <w:szCs w:val="16"/>
          <w:vertAlign w:val="superscript"/>
        </w:rPr>
        <w:t>15</w:t>
      </w:r>
      <w:r>
        <w:rPr>
          <w:sz w:val="16"/>
          <w:szCs w:val="16"/>
        </w:rPr>
        <w:t xml:space="preserve"> gramů uhlíku. To </w:t>
      </w:r>
      <w:r w:rsidRPr="00D115F6">
        <w:rPr>
          <w:sz w:val="16"/>
          <w:szCs w:val="16"/>
        </w:rPr>
        <w:t>odpovídá 3,6</w:t>
      </w:r>
      <w:r>
        <w:rPr>
          <w:sz w:val="16"/>
          <w:szCs w:val="16"/>
        </w:rPr>
        <w:t>6</w:t>
      </w:r>
      <w:r w:rsidRPr="00D115F6">
        <w:rPr>
          <w:sz w:val="16"/>
          <w:szCs w:val="16"/>
        </w:rPr>
        <w:t>7 Gt CO</w:t>
      </w:r>
      <w:r w:rsidRPr="00D115F6">
        <w:rPr>
          <w:sz w:val="16"/>
          <w:szCs w:val="16"/>
          <w:vertAlign w:val="subscript"/>
        </w:rPr>
        <w:t>2</w:t>
      </w:r>
      <w:r w:rsidRPr="00D115F6">
        <w:rPr>
          <w:sz w:val="16"/>
          <w:szCs w:val="16"/>
        </w:rPr>
        <w:t>.</w:t>
      </w:r>
    </w:p>
    <w:p w:rsidR="001641F4" w:rsidRDefault="001641F4" w:rsidP="001641F4">
      <w:pPr>
        <w:pStyle w:val="Bezmezer"/>
        <w:shd w:val="clear" w:color="auto" w:fill="FFFFFF"/>
        <w:ind w:right="79"/>
        <w:jc w:val="both"/>
        <w:rPr>
          <w:bCs/>
          <w:color w:val="000000"/>
        </w:rPr>
      </w:pPr>
    </w:p>
    <w:p w:rsidR="001641F4" w:rsidRPr="001641F4" w:rsidRDefault="001641F4" w:rsidP="001641F4">
      <w:pPr>
        <w:pStyle w:val="Bezmezer"/>
        <w:shd w:val="clear" w:color="auto" w:fill="FFFFFF"/>
        <w:ind w:right="79"/>
        <w:jc w:val="both"/>
        <w:rPr>
          <w:bCs/>
          <w:color w:val="000000"/>
        </w:rPr>
      </w:pPr>
    </w:p>
    <w:p w:rsidR="00D51FC2" w:rsidRDefault="00D51FC2" w:rsidP="001641F4">
      <w:pPr>
        <w:pStyle w:val="Bezmezer"/>
        <w:numPr>
          <w:ilvl w:val="0"/>
          <w:numId w:val="6"/>
        </w:numPr>
        <w:shd w:val="clear" w:color="auto" w:fill="FFFFFF"/>
        <w:ind w:left="426" w:right="79" w:hanging="426"/>
        <w:jc w:val="both"/>
        <w:rPr>
          <w:bCs/>
          <w:color w:val="000000"/>
        </w:rPr>
      </w:pPr>
      <w:r w:rsidRPr="001641F4">
        <w:rPr>
          <w:bCs/>
          <w:color w:val="000000"/>
        </w:rPr>
        <w:t>Kumulativní emise</w:t>
      </w:r>
      <w:r w:rsidRPr="001641F4">
        <w:rPr>
          <w:rStyle w:val="Znakapoznpodarou"/>
          <w:bCs/>
          <w:color w:val="000000"/>
        </w:rPr>
        <w:footnoteReference w:id="20"/>
      </w:r>
      <w:r w:rsidRPr="001641F4">
        <w:rPr>
          <w:bCs/>
          <w:color w:val="000000"/>
        </w:rPr>
        <w:t xml:space="preserve"> CO</w:t>
      </w:r>
      <w:r w:rsidRPr="001641F4">
        <w:rPr>
          <w:bCs/>
          <w:color w:val="000000"/>
          <w:vertAlign w:val="subscript"/>
        </w:rPr>
        <w:t>2</w:t>
      </w:r>
      <w:r w:rsidRPr="001641F4">
        <w:rPr>
          <w:bCs/>
          <w:color w:val="000000"/>
        </w:rPr>
        <w:t xml:space="preserve"> pro období let 2012-2100 odpovídající atmosférickým koncentracím CO</w:t>
      </w:r>
      <w:r w:rsidRPr="001641F4">
        <w:rPr>
          <w:bCs/>
          <w:color w:val="000000"/>
          <w:vertAlign w:val="subscript"/>
        </w:rPr>
        <w:t>2</w:t>
      </w:r>
      <w:r w:rsidRPr="001641F4">
        <w:rPr>
          <w:bCs/>
          <w:color w:val="000000"/>
        </w:rPr>
        <w:t xml:space="preserve"> podle scénářů RCP, které vycházejí z 15 modelů ESM, se pohybují v rozsahu od 140 do 410 GtC podle scénáře RCP2.6, 595 až 1005 GtC podle scénáře RCP4.5, 840 až 1250 GtC podle scénáře RCP6.0 a 1415 až 1910 GtC podle scénáře RCP8.5 (viz tab. SPM.3). {6.4}</w:t>
      </w:r>
    </w:p>
    <w:p w:rsidR="001641F4" w:rsidRPr="001641F4" w:rsidRDefault="001641F4" w:rsidP="001641F4">
      <w:pPr>
        <w:pStyle w:val="Bezmezer"/>
        <w:shd w:val="clear" w:color="auto" w:fill="FFFFFF"/>
        <w:ind w:left="426" w:right="79"/>
        <w:jc w:val="both"/>
        <w:rPr>
          <w:bCs/>
          <w:color w:val="000000"/>
        </w:rPr>
      </w:pPr>
    </w:p>
    <w:p w:rsidR="001641F4" w:rsidRPr="001641F4" w:rsidRDefault="001641F4" w:rsidP="001641F4">
      <w:pPr>
        <w:pStyle w:val="Bezmezer"/>
        <w:numPr>
          <w:ilvl w:val="0"/>
          <w:numId w:val="6"/>
        </w:numPr>
        <w:shd w:val="clear" w:color="auto" w:fill="FFFFFF"/>
        <w:ind w:left="426" w:right="82"/>
        <w:jc w:val="both"/>
        <w:rPr>
          <w:bCs/>
          <w:color w:val="000000"/>
        </w:rPr>
      </w:pPr>
      <w:r w:rsidRPr="001641F4">
        <w:rPr>
          <w:bCs/>
          <w:color w:val="000000"/>
        </w:rPr>
        <w:t>Podle scénáře RCP2.6 jsou do roku 2050 roční emise CO</w:t>
      </w:r>
      <w:r w:rsidRPr="001641F4">
        <w:rPr>
          <w:bCs/>
          <w:color w:val="000000"/>
          <w:vertAlign w:val="subscript"/>
        </w:rPr>
        <w:t>2</w:t>
      </w:r>
      <w:r w:rsidRPr="001641F4">
        <w:rPr>
          <w:bCs/>
          <w:color w:val="000000"/>
        </w:rPr>
        <w:t xml:space="preserve"> odvozené z modelů ESM menší než emise v roce 1990 (o 14 % až 96 %). Do konce 21. století ukazuje zhruba polovina modelů emise mírně nad nulou, zatímco druhá polovina ukazuje čistý úbytek CO</w:t>
      </w:r>
      <w:r w:rsidRPr="001641F4">
        <w:rPr>
          <w:bCs/>
          <w:color w:val="000000"/>
          <w:vertAlign w:val="subscript"/>
        </w:rPr>
        <w:t>2</w:t>
      </w:r>
      <w:r w:rsidRPr="001641F4">
        <w:rPr>
          <w:bCs/>
          <w:color w:val="000000"/>
        </w:rPr>
        <w:t xml:space="preserve"> v atmosféře. </w:t>
      </w:r>
      <w:r w:rsidRPr="001641F4">
        <w:rPr>
          <w:color w:val="000000"/>
          <w:spacing w:val="-1"/>
        </w:rPr>
        <w:t>{6.4</w:t>
      </w:r>
      <w:r w:rsidR="00365A5D">
        <w:rPr>
          <w:color w:val="000000"/>
          <w:spacing w:val="-1"/>
        </w:rPr>
        <w:t>,</w:t>
      </w:r>
      <w:r w:rsidR="00365A5D" w:rsidRPr="00365A5D">
        <w:rPr>
          <w:bCs/>
          <w:color w:val="000000"/>
        </w:rPr>
        <w:t xml:space="preserve"> </w:t>
      </w:r>
      <w:r w:rsidR="00365A5D" w:rsidRPr="001641F4">
        <w:rPr>
          <w:bCs/>
          <w:color w:val="000000"/>
        </w:rPr>
        <w:t>obr. TS.19</w:t>
      </w:r>
      <w:r w:rsidRPr="001641F4">
        <w:rPr>
          <w:color w:val="000000"/>
          <w:spacing w:val="-1"/>
        </w:rPr>
        <w:t>}</w:t>
      </w:r>
    </w:p>
    <w:p w:rsidR="001641F4" w:rsidRPr="001641F4" w:rsidRDefault="001641F4" w:rsidP="001641F4">
      <w:pPr>
        <w:pStyle w:val="Bezmezer"/>
        <w:shd w:val="clear" w:color="auto" w:fill="FFFFFF"/>
        <w:ind w:right="82"/>
        <w:jc w:val="both"/>
        <w:rPr>
          <w:bCs/>
          <w:color w:val="000000"/>
        </w:rPr>
      </w:pPr>
    </w:p>
    <w:p w:rsidR="001641F4" w:rsidRPr="001641F4" w:rsidRDefault="001641F4" w:rsidP="001641F4">
      <w:pPr>
        <w:pStyle w:val="Bezmezer"/>
        <w:numPr>
          <w:ilvl w:val="0"/>
          <w:numId w:val="6"/>
        </w:numPr>
        <w:shd w:val="clear" w:color="auto" w:fill="FFFFFF"/>
        <w:ind w:left="426" w:right="82"/>
        <w:jc w:val="both"/>
        <w:rPr>
          <w:bCs/>
          <w:color w:val="000000"/>
        </w:rPr>
      </w:pPr>
      <w:r w:rsidRPr="001641F4">
        <w:rPr>
          <w:color w:val="000000"/>
          <w:spacing w:val="-1"/>
        </w:rPr>
        <w:t>Podle scénáře RCP 8.5 (</w:t>
      </w:r>
      <w:r w:rsidRPr="001641F4">
        <w:rPr>
          <w:i/>
          <w:color w:val="000000"/>
          <w:spacing w:val="-1"/>
        </w:rPr>
        <w:t>nízká spolehlivost</w:t>
      </w:r>
      <w:r w:rsidRPr="001641F4">
        <w:rPr>
          <w:color w:val="000000"/>
          <w:spacing w:val="-1"/>
        </w:rPr>
        <w:t>) bude uvolňování CO</w:t>
      </w:r>
      <w:r w:rsidRPr="001641F4">
        <w:rPr>
          <w:color w:val="000000"/>
          <w:spacing w:val="-1"/>
          <w:vertAlign w:val="subscript"/>
        </w:rPr>
        <w:t>2</w:t>
      </w:r>
      <w:r w:rsidRPr="001641F4">
        <w:rPr>
          <w:color w:val="000000"/>
          <w:spacing w:val="-1"/>
        </w:rPr>
        <w:t xml:space="preserve"> nebo CH</w:t>
      </w:r>
      <w:r w:rsidRPr="001641F4">
        <w:rPr>
          <w:color w:val="000000"/>
          <w:spacing w:val="-1"/>
          <w:vertAlign w:val="subscript"/>
        </w:rPr>
        <w:t>4</w:t>
      </w:r>
      <w:r w:rsidRPr="001641F4">
        <w:rPr>
          <w:color w:val="000000"/>
          <w:spacing w:val="-1"/>
        </w:rPr>
        <w:t xml:space="preserve"> do atmosféry z tajícího permafrostu v průběhu 21. století v rozsahu 50 až 250 GtC. </w:t>
      </w:r>
      <w:r w:rsidRPr="001641F4">
        <w:rPr>
          <w:color w:val="000000"/>
          <w:spacing w:val="-2"/>
        </w:rPr>
        <w:t>{6.4}</w:t>
      </w:r>
    </w:p>
    <w:p w:rsidR="001641F4" w:rsidRPr="00D51FC2" w:rsidRDefault="001641F4" w:rsidP="001641F4">
      <w:pPr>
        <w:pStyle w:val="Bezmezer"/>
        <w:shd w:val="clear" w:color="auto" w:fill="FFFFFF"/>
        <w:ind w:left="426" w:right="79"/>
        <w:jc w:val="both"/>
        <w:rPr>
          <w:bCs/>
          <w:color w:val="000000"/>
        </w:rPr>
      </w:pPr>
    </w:p>
    <w:p w:rsidR="00C21B12" w:rsidRDefault="00C21B12" w:rsidP="00C21B12">
      <w:pPr>
        <w:shd w:val="clear" w:color="auto" w:fill="FFFFFF"/>
        <w:spacing w:before="360"/>
        <w:ind w:left="6"/>
        <w:rPr>
          <w:b/>
          <w:bCs/>
          <w:iCs/>
          <w:color w:val="000000"/>
          <w:sz w:val="28"/>
          <w:szCs w:val="28"/>
        </w:rPr>
      </w:pPr>
      <w:r w:rsidRPr="00C21B12">
        <w:rPr>
          <w:b/>
          <w:bCs/>
          <w:iCs/>
          <w:color w:val="000000"/>
          <w:sz w:val="28"/>
          <w:szCs w:val="28"/>
        </w:rPr>
        <w:t>E.8 Stabilizace klimatu, setrvačnost a ireverzibilita změny klimatu</w:t>
      </w:r>
    </w:p>
    <w:p w:rsidR="00C21B12" w:rsidRDefault="00C3040A" w:rsidP="00C21B12">
      <w:pPr>
        <w:shd w:val="clear" w:color="auto" w:fill="FFFFFF"/>
        <w:spacing w:before="360"/>
        <w:ind w:left="6"/>
        <w:rPr>
          <w:b/>
          <w:bCs/>
          <w:iCs/>
          <w:color w:val="000000"/>
          <w:sz w:val="28"/>
          <w:szCs w:val="28"/>
        </w:rPr>
      </w:pPr>
      <w:r>
        <w:rPr>
          <w:b/>
          <w:bCs/>
          <w:iCs/>
          <w:noProof/>
          <w:color w:val="000000"/>
          <w:sz w:val="28"/>
          <w:szCs w:val="28"/>
        </w:rPr>
        <mc:AlternateContent>
          <mc:Choice Requires="wps">
            <w:drawing>
              <wp:anchor distT="0" distB="0" distL="114300" distR="114300" simplePos="0" relativeHeight="251688960" behindDoc="0" locked="0" layoutInCell="1" allowOverlap="1">
                <wp:simplePos x="0" y="0"/>
                <wp:positionH relativeFrom="column">
                  <wp:posOffset>-16510</wp:posOffset>
                </wp:positionH>
                <wp:positionV relativeFrom="paragraph">
                  <wp:posOffset>49530</wp:posOffset>
                </wp:positionV>
                <wp:extent cx="6151880" cy="685165"/>
                <wp:effectExtent l="12065" t="11430" r="8255" b="5080"/>
                <wp:wrapNone/>
                <wp:docPr id="6"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1880" cy="685165"/>
                        </a:xfrm>
                        <a:prstGeom prst="rect">
                          <a:avLst/>
                        </a:prstGeom>
                        <a:solidFill>
                          <a:schemeClr val="accent6">
                            <a:lumMod val="40000"/>
                            <a:lumOff val="60000"/>
                          </a:schemeClr>
                        </a:solidFill>
                        <a:ln w="9525">
                          <a:solidFill>
                            <a:schemeClr val="accent6">
                              <a:lumMod val="40000"/>
                              <a:lumOff val="60000"/>
                            </a:schemeClr>
                          </a:solidFill>
                          <a:miter lim="800000"/>
                          <a:headEnd/>
                          <a:tailEnd/>
                        </a:ln>
                      </wps:spPr>
                      <wps:txbx>
                        <w:txbxContent>
                          <w:p w:rsidR="00C21B12" w:rsidRPr="00C21B12" w:rsidRDefault="00C21B12" w:rsidP="00C21B12">
                            <w:pPr>
                              <w:jc w:val="both"/>
                              <w:rPr>
                                <w:b/>
                                <w:color w:val="984806" w:themeColor="accent6" w:themeShade="80"/>
                                <w:sz w:val="16"/>
                                <w:szCs w:val="16"/>
                              </w:rPr>
                            </w:pPr>
                            <w:r w:rsidRPr="00C21B12">
                              <w:rPr>
                                <w:b/>
                                <w:color w:val="984806" w:themeColor="accent6" w:themeShade="80"/>
                              </w:rPr>
                              <w:t>Kumulativní emise CO</w:t>
                            </w:r>
                            <w:r w:rsidRPr="00C21B12">
                              <w:rPr>
                                <w:b/>
                                <w:color w:val="984806" w:themeColor="accent6" w:themeShade="80"/>
                                <w:vertAlign w:val="subscript"/>
                              </w:rPr>
                              <w:t>2</w:t>
                            </w:r>
                            <w:r w:rsidRPr="00C21B12">
                              <w:rPr>
                                <w:b/>
                                <w:color w:val="984806" w:themeColor="accent6" w:themeShade="80"/>
                              </w:rPr>
                              <w:t xml:space="preserve"> do velké míry předurčují globální průměrné oteplování při povrchu do konce 21. století a dále (viz obr. SPM.10). Většina aspektů klimatické změny bude přetrvávat po staletí i v případě, že se emise CO</w:t>
                            </w:r>
                            <w:r w:rsidRPr="00C21B12">
                              <w:rPr>
                                <w:b/>
                                <w:color w:val="984806" w:themeColor="accent6" w:themeShade="80"/>
                                <w:vertAlign w:val="subscript"/>
                              </w:rPr>
                              <w:t>2</w:t>
                            </w:r>
                            <w:r w:rsidRPr="00C21B12">
                              <w:rPr>
                                <w:b/>
                                <w:color w:val="984806" w:themeColor="accent6" w:themeShade="80"/>
                              </w:rPr>
                              <w:t xml:space="preserve"> zastaví. To představuje značnou, několik století trvající klimatickou změnu vytvořenou minulými, současnými i budoucími emisemi CO</w:t>
                            </w:r>
                            <w:r w:rsidRPr="00C21B12">
                              <w:rPr>
                                <w:b/>
                                <w:color w:val="984806" w:themeColor="accent6" w:themeShade="80"/>
                                <w:vertAlign w:val="subscript"/>
                              </w:rPr>
                              <w:t>2</w:t>
                            </w:r>
                            <w:r w:rsidRPr="00C21B12">
                              <w:rPr>
                                <w:b/>
                                <w:color w:val="984806" w:themeColor="accent6" w:themeShade="80"/>
                              </w:rPr>
                              <w:t>.</w:t>
                            </w:r>
                            <w:r w:rsidRPr="00C21B12">
                              <w:rPr>
                                <w:b/>
                                <w:color w:val="984806" w:themeColor="accent6" w:themeShade="80"/>
                                <w:spacing w:val="-1"/>
                              </w:rPr>
                              <w:t xml:space="preserve"> </w:t>
                            </w:r>
                            <w:r w:rsidRPr="00C21B12">
                              <w:rPr>
                                <w:b/>
                                <w:color w:val="984806" w:themeColor="accent6" w:themeShade="80"/>
                                <w:spacing w:val="-1"/>
                                <w:sz w:val="16"/>
                                <w:szCs w:val="16"/>
                              </w:rPr>
                              <w:t>{12.5}</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8" o:spid="_x0000_s1044" type="#_x0000_t202" style="position:absolute;left:0;text-align:left;margin-left:-1.3pt;margin-top:3.9pt;width:484.4pt;height:53.95pt;z-index:2516889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" fillcolor="#fbd4b4 [1305]" strokecolor="#fbd4b4 [1305]">
                <v:textbox style="mso-fit-shape-to-text:t">
                  <w:txbxContent>
                    <w:p w:rsidR="00C21B12" w:rsidRPr="00C21B12" w:rsidRDefault="00C21B12" w:rsidP="00C21B12">
                      <w:pPr>
                        <w:jc w:val="both"/>
                        <w:rPr>
                          <w:b/>
                          <w:color w:val="984806" w:themeColor="accent6" w:themeShade="80"/>
                          <w:sz w:val="16"/>
                          <w:szCs w:val="16"/>
                        </w:rPr>
                      </w:pPr>
                      <w:r w:rsidRPr="00C21B12">
                        <w:rPr>
                          <w:b/>
                          <w:color w:val="984806" w:themeColor="accent6" w:themeShade="80"/>
                        </w:rPr>
                        <w:t>Kumulativní emise CO</w:t>
                      </w:r>
                      <w:r w:rsidRPr="00C21B12">
                        <w:rPr>
                          <w:b/>
                          <w:color w:val="984806" w:themeColor="accent6" w:themeShade="80"/>
                          <w:vertAlign w:val="subscript"/>
                        </w:rPr>
                        <w:t>2</w:t>
                      </w:r>
                      <w:r w:rsidRPr="00C21B12">
                        <w:rPr>
                          <w:b/>
                          <w:color w:val="984806" w:themeColor="accent6" w:themeShade="80"/>
                        </w:rPr>
                        <w:t xml:space="preserve"> do velké míry předurčují globální průměrné oteplování při povrchu do konce 21. století a dále (viz obr. SPM.10). Většina aspektů klimatické změny bude přetrvávat po staletí i v případě, že se emise CO</w:t>
                      </w:r>
                      <w:r w:rsidRPr="00C21B12">
                        <w:rPr>
                          <w:b/>
                          <w:color w:val="984806" w:themeColor="accent6" w:themeShade="80"/>
                          <w:vertAlign w:val="subscript"/>
                        </w:rPr>
                        <w:t>2</w:t>
                      </w:r>
                      <w:r w:rsidRPr="00C21B12">
                        <w:rPr>
                          <w:b/>
                          <w:color w:val="984806" w:themeColor="accent6" w:themeShade="80"/>
                        </w:rPr>
                        <w:t xml:space="preserve"> zastaví. To představuje značnou, několik století trvající klimatickou změnu vytvořenou minulými, současnými i budoucími emisemi CO</w:t>
                      </w:r>
                      <w:r w:rsidRPr="00C21B12">
                        <w:rPr>
                          <w:b/>
                          <w:color w:val="984806" w:themeColor="accent6" w:themeShade="80"/>
                          <w:vertAlign w:val="subscript"/>
                        </w:rPr>
                        <w:t>2</w:t>
                      </w:r>
                      <w:r w:rsidRPr="00C21B12">
                        <w:rPr>
                          <w:b/>
                          <w:color w:val="984806" w:themeColor="accent6" w:themeShade="80"/>
                        </w:rPr>
                        <w:t>.</w:t>
                      </w:r>
                      <w:r w:rsidRPr="00C21B12">
                        <w:rPr>
                          <w:b/>
                          <w:color w:val="984806" w:themeColor="accent6" w:themeShade="80"/>
                          <w:spacing w:val="-1"/>
                        </w:rPr>
                        <w:t xml:space="preserve"> </w:t>
                      </w:r>
                      <w:r w:rsidRPr="00C21B12">
                        <w:rPr>
                          <w:b/>
                          <w:color w:val="984806" w:themeColor="accent6" w:themeShade="80"/>
                          <w:spacing w:val="-1"/>
                          <w:sz w:val="16"/>
                          <w:szCs w:val="16"/>
                        </w:rPr>
                        <w:t>{12.5}</w:t>
                      </w:r>
                    </w:p>
                  </w:txbxContent>
                </v:textbox>
              </v:shape>
            </w:pict>
          </mc:Fallback>
        </mc:AlternateContent>
      </w:r>
    </w:p>
    <w:p w:rsidR="00C21B12" w:rsidRDefault="00C21B12" w:rsidP="00C21B12">
      <w:pPr>
        <w:shd w:val="clear" w:color="auto" w:fill="FFFFFF"/>
        <w:spacing w:before="360"/>
        <w:ind w:left="6"/>
        <w:rPr>
          <w:b/>
          <w:bCs/>
          <w:iCs/>
          <w:color w:val="000000"/>
          <w:sz w:val="28"/>
          <w:szCs w:val="28"/>
        </w:rPr>
      </w:pPr>
    </w:p>
    <w:p w:rsidR="00C21B12" w:rsidRPr="00C21B12" w:rsidRDefault="00C21B12" w:rsidP="00C21B12">
      <w:pPr>
        <w:pStyle w:val="Bezmezer"/>
        <w:numPr>
          <w:ilvl w:val="0"/>
          <w:numId w:val="6"/>
        </w:numPr>
        <w:shd w:val="clear" w:color="auto" w:fill="FFFFFF"/>
        <w:ind w:left="357" w:hanging="357"/>
        <w:jc w:val="both"/>
        <w:rPr>
          <w:bCs/>
          <w:color w:val="000000"/>
        </w:rPr>
      </w:pPr>
      <w:r w:rsidRPr="00C21B12">
        <w:rPr>
          <w:bCs/>
          <w:color w:val="000000"/>
        </w:rPr>
        <w:t>Kumulativní celkové emise CO</w:t>
      </w:r>
      <w:r w:rsidRPr="00C21B12">
        <w:rPr>
          <w:bCs/>
          <w:color w:val="000000"/>
          <w:vertAlign w:val="subscript"/>
        </w:rPr>
        <w:t>2</w:t>
      </w:r>
      <w:r w:rsidRPr="00C21B12">
        <w:rPr>
          <w:bCs/>
          <w:color w:val="000000"/>
        </w:rPr>
        <w:t xml:space="preserve"> a reakce průměrné globální teploty při povrchu mají zhruba lineární vzájemný vztah (viz obr. SPM.10). Každá daná úroveň oteplení je spojena s rozsahem kumulativních emisí</w:t>
      </w:r>
      <w:r w:rsidRPr="00C21B12">
        <w:rPr>
          <w:rStyle w:val="Znakapoznpodarou"/>
          <w:bCs/>
          <w:color w:val="000000"/>
        </w:rPr>
        <w:footnoteReference w:id="21"/>
      </w:r>
      <w:r w:rsidRPr="00C21B12">
        <w:rPr>
          <w:bCs/>
          <w:color w:val="000000"/>
        </w:rPr>
        <w:t xml:space="preserve"> CO</w:t>
      </w:r>
      <w:r w:rsidRPr="00C21B12">
        <w:rPr>
          <w:bCs/>
          <w:color w:val="000000"/>
          <w:vertAlign w:val="subscript"/>
        </w:rPr>
        <w:t>2</w:t>
      </w:r>
      <w:r w:rsidRPr="00C21B12">
        <w:rPr>
          <w:bCs/>
          <w:color w:val="000000"/>
        </w:rPr>
        <w:t xml:space="preserve">, a proto např. vyšší emise v dřívějších dekádách implikují nižší emise později. </w:t>
      </w:r>
      <w:r w:rsidRPr="00C21B12">
        <w:rPr>
          <w:color w:val="000000"/>
          <w:spacing w:val="-1"/>
        </w:rPr>
        <w:t>{12.5}</w:t>
      </w:r>
    </w:p>
    <w:p w:rsidR="00C21B12" w:rsidRPr="00C21B12" w:rsidRDefault="00C21B12" w:rsidP="00C21B12">
      <w:pPr>
        <w:pStyle w:val="Bezmezer"/>
        <w:shd w:val="clear" w:color="auto" w:fill="FFFFFF"/>
        <w:ind w:left="357"/>
        <w:jc w:val="both"/>
        <w:rPr>
          <w:bCs/>
          <w:color w:val="000000"/>
        </w:rPr>
      </w:pPr>
    </w:p>
    <w:p w:rsidR="00C21B12" w:rsidRPr="00C21B12" w:rsidRDefault="00C21B12" w:rsidP="00C21B12">
      <w:pPr>
        <w:pStyle w:val="Bezmezer"/>
        <w:numPr>
          <w:ilvl w:val="0"/>
          <w:numId w:val="6"/>
        </w:numPr>
        <w:shd w:val="clear" w:color="auto" w:fill="FFFFFF"/>
        <w:ind w:left="357" w:hanging="357"/>
        <w:jc w:val="both"/>
        <w:rPr>
          <w:bCs/>
          <w:color w:val="000000"/>
        </w:rPr>
      </w:pPr>
      <w:r w:rsidRPr="00C21B12">
        <w:rPr>
          <w:bCs/>
          <w:color w:val="000000"/>
        </w:rPr>
        <w:t>Omezit oteplování způsobené pouze antropogenními emisemi CO</w:t>
      </w:r>
      <w:r w:rsidRPr="00C21B12">
        <w:rPr>
          <w:bCs/>
          <w:color w:val="000000"/>
          <w:vertAlign w:val="subscript"/>
        </w:rPr>
        <w:t>2</w:t>
      </w:r>
      <w:r w:rsidRPr="00C21B12">
        <w:rPr>
          <w:bCs/>
          <w:color w:val="000000"/>
        </w:rPr>
        <w:t xml:space="preserve"> s pravděpodobností </w:t>
      </w:r>
      <w:r w:rsidRPr="00C21B12">
        <w:rPr>
          <w:color w:val="000000"/>
          <w:spacing w:val="-2"/>
        </w:rPr>
        <w:t>&gt;33 %, &gt;50 %, respektive &gt;66 % na méně než 2°C od období let 1861-1880</w:t>
      </w:r>
      <w:r w:rsidRPr="00C21B12">
        <w:rPr>
          <w:rStyle w:val="Znakapoznpodarou"/>
          <w:color w:val="000000"/>
          <w:spacing w:val="-2"/>
        </w:rPr>
        <w:footnoteReference w:id="22"/>
      </w:r>
      <w:r w:rsidRPr="00C21B12">
        <w:rPr>
          <w:color w:val="000000"/>
          <w:spacing w:val="-2"/>
        </w:rPr>
        <w:t xml:space="preserve"> bude vyžadovat, aby kumulativní emise CO</w:t>
      </w:r>
      <w:r w:rsidRPr="00C21B12">
        <w:rPr>
          <w:color w:val="000000"/>
          <w:spacing w:val="-2"/>
          <w:vertAlign w:val="subscript"/>
        </w:rPr>
        <w:t>2</w:t>
      </w:r>
      <w:r w:rsidRPr="00C21B12">
        <w:rPr>
          <w:color w:val="000000"/>
          <w:spacing w:val="-2"/>
        </w:rPr>
        <w:t xml:space="preserve"> ze všech antropogenních zdrojů zůstaly mezi 0 a zhruba 1570 GtC (5760 GtCO</w:t>
      </w:r>
      <w:r w:rsidRPr="00C21B12">
        <w:rPr>
          <w:color w:val="000000"/>
          <w:spacing w:val="-2"/>
          <w:vertAlign w:val="subscript"/>
        </w:rPr>
        <w:t>2</w:t>
      </w:r>
      <w:r w:rsidRPr="00C21B12">
        <w:rPr>
          <w:color w:val="000000"/>
          <w:spacing w:val="-2"/>
        </w:rPr>
        <w:t xml:space="preserve">), </w:t>
      </w:r>
      <w:r w:rsidRPr="00C21B12">
        <w:rPr>
          <w:color w:val="000000"/>
          <w:spacing w:val="-1"/>
        </w:rPr>
        <w:t xml:space="preserve">0 a </w:t>
      </w:r>
      <w:r w:rsidRPr="00C21B12">
        <w:rPr>
          <w:color w:val="000000"/>
          <w:spacing w:val="-2"/>
        </w:rPr>
        <w:t>zhruba</w:t>
      </w:r>
      <w:r w:rsidRPr="00C21B12">
        <w:rPr>
          <w:color w:val="000000"/>
          <w:spacing w:val="-1"/>
        </w:rPr>
        <w:t xml:space="preserve"> 1210 GtC (4440 GtCO</w:t>
      </w:r>
      <w:r w:rsidRPr="00C21B12">
        <w:rPr>
          <w:color w:val="000000"/>
          <w:spacing w:val="-1"/>
          <w:vertAlign w:val="subscript"/>
        </w:rPr>
        <w:t>2</w:t>
      </w:r>
      <w:r w:rsidRPr="00C21B12">
        <w:rPr>
          <w:color w:val="000000"/>
          <w:spacing w:val="-1"/>
        </w:rPr>
        <w:t xml:space="preserve">), respektive 0 a </w:t>
      </w:r>
      <w:r w:rsidRPr="00C21B12">
        <w:rPr>
          <w:color w:val="000000"/>
          <w:spacing w:val="-2"/>
        </w:rPr>
        <w:t>zhruba</w:t>
      </w:r>
      <w:r w:rsidRPr="00C21B12">
        <w:rPr>
          <w:color w:val="000000"/>
          <w:spacing w:val="-1"/>
        </w:rPr>
        <w:t xml:space="preserve"> 1000 GtC (3670 GtCO2) od uvedeného období</w:t>
      </w:r>
      <w:r w:rsidRPr="00C21B12">
        <w:rPr>
          <w:rStyle w:val="Znakapoznpodarou"/>
          <w:color w:val="000000"/>
          <w:spacing w:val="-1"/>
        </w:rPr>
        <w:footnoteReference w:id="23"/>
      </w:r>
      <w:r w:rsidRPr="00C21B12">
        <w:rPr>
          <w:color w:val="000000"/>
          <w:spacing w:val="-1"/>
        </w:rPr>
        <w:t xml:space="preserve">. Uvedená horní množství se sníží na </w:t>
      </w:r>
      <w:r w:rsidRPr="00C21B12">
        <w:rPr>
          <w:color w:val="000000"/>
          <w:spacing w:val="-2"/>
        </w:rPr>
        <w:t xml:space="preserve">zhruba </w:t>
      </w:r>
      <w:r w:rsidRPr="00C21B12">
        <w:rPr>
          <w:color w:val="000000"/>
        </w:rPr>
        <w:t>900 GtC (3300 GtCO</w:t>
      </w:r>
      <w:r w:rsidRPr="00C21B12">
        <w:rPr>
          <w:color w:val="000000"/>
          <w:vertAlign w:val="subscript"/>
        </w:rPr>
        <w:t>2</w:t>
      </w:r>
      <w:r w:rsidRPr="00C21B12">
        <w:rPr>
          <w:color w:val="000000"/>
        </w:rPr>
        <w:t>), 820 GtC (3010 GtCO</w:t>
      </w:r>
      <w:r w:rsidRPr="00C21B12">
        <w:rPr>
          <w:color w:val="000000"/>
          <w:vertAlign w:val="subscript"/>
        </w:rPr>
        <w:t>2</w:t>
      </w:r>
      <w:r w:rsidRPr="00C21B12">
        <w:rPr>
          <w:color w:val="000000"/>
        </w:rPr>
        <w:t xml:space="preserve">), </w:t>
      </w:r>
      <w:r w:rsidRPr="00C21B12">
        <w:rPr>
          <w:color w:val="000000"/>
          <w:spacing w:val="-1"/>
        </w:rPr>
        <w:t>respektive</w:t>
      </w:r>
      <w:r w:rsidRPr="00C21B12">
        <w:rPr>
          <w:color w:val="000000"/>
        </w:rPr>
        <w:t xml:space="preserve"> 790 GtC (2900 GtCO</w:t>
      </w:r>
      <w:r w:rsidRPr="00C21B12">
        <w:rPr>
          <w:color w:val="000000"/>
          <w:vertAlign w:val="subscript"/>
        </w:rPr>
        <w:t>2</w:t>
      </w:r>
      <w:r w:rsidRPr="00C21B12">
        <w:rPr>
          <w:color w:val="000000"/>
        </w:rPr>
        <w:t>), pokud vezmeme v úvahu i příčiny jiné než CO</w:t>
      </w:r>
      <w:r w:rsidRPr="00C21B12">
        <w:rPr>
          <w:color w:val="000000"/>
          <w:vertAlign w:val="subscript"/>
        </w:rPr>
        <w:t>2</w:t>
      </w:r>
      <w:r w:rsidRPr="00C21B12">
        <w:rPr>
          <w:color w:val="000000"/>
        </w:rPr>
        <w:t xml:space="preserve">, jako je tomu ve scénáři RCP2.6. Do roku 2011 bylo již emitováno </w:t>
      </w:r>
      <w:r w:rsidRPr="00C21B12">
        <w:rPr>
          <w:color w:val="000000"/>
          <w:spacing w:val="-2"/>
        </w:rPr>
        <w:t xml:space="preserve">515 [445 až 585] GtC (1890 </w:t>
      </w:r>
      <w:r w:rsidRPr="00C21B12">
        <w:rPr>
          <w:color w:val="000000"/>
          <w:spacing w:val="-2"/>
          <w:lang w:val="en-US"/>
        </w:rPr>
        <w:t xml:space="preserve">[1630 </w:t>
      </w:r>
      <w:r w:rsidRPr="00C21B12">
        <w:rPr>
          <w:color w:val="000000"/>
          <w:spacing w:val="-2"/>
        </w:rPr>
        <w:t xml:space="preserve">až </w:t>
      </w:r>
      <w:r w:rsidRPr="00C21B12">
        <w:rPr>
          <w:color w:val="000000"/>
          <w:spacing w:val="-2"/>
          <w:lang w:val="en-US"/>
        </w:rPr>
        <w:t xml:space="preserve">2150] </w:t>
      </w:r>
      <w:r w:rsidRPr="00C21B12">
        <w:rPr>
          <w:color w:val="000000"/>
          <w:spacing w:val="-2"/>
        </w:rPr>
        <w:t>GtCO</w:t>
      </w:r>
      <w:r w:rsidRPr="00C21B12">
        <w:rPr>
          <w:color w:val="000000"/>
          <w:spacing w:val="-2"/>
          <w:vertAlign w:val="subscript"/>
        </w:rPr>
        <w:t>2</w:t>
      </w:r>
      <w:r w:rsidRPr="00C21B12">
        <w:rPr>
          <w:color w:val="000000"/>
          <w:spacing w:val="-2"/>
        </w:rPr>
        <w:t xml:space="preserve">). </w:t>
      </w:r>
      <w:r w:rsidRPr="00C21B12">
        <w:rPr>
          <w:color w:val="000000"/>
          <w:spacing w:val="-1"/>
        </w:rPr>
        <w:t>{12.5}</w:t>
      </w:r>
    </w:p>
    <w:p w:rsidR="00C21B12" w:rsidRPr="00C21B12" w:rsidRDefault="00C21B12" w:rsidP="00C21B12">
      <w:pPr>
        <w:pStyle w:val="Bezmezer"/>
        <w:shd w:val="clear" w:color="auto" w:fill="FFFFFF"/>
        <w:jc w:val="both"/>
        <w:rPr>
          <w:bCs/>
          <w:color w:val="000000"/>
        </w:rPr>
      </w:pPr>
    </w:p>
    <w:p w:rsidR="00C21B12" w:rsidRPr="00C21B12" w:rsidRDefault="00C21B12" w:rsidP="00C21B12">
      <w:pPr>
        <w:pStyle w:val="Bezmezer"/>
        <w:numPr>
          <w:ilvl w:val="0"/>
          <w:numId w:val="6"/>
        </w:numPr>
        <w:shd w:val="clear" w:color="auto" w:fill="FFFFFF"/>
        <w:ind w:left="357" w:hanging="357"/>
        <w:jc w:val="both"/>
        <w:rPr>
          <w:bCs/>
          <w:color w:val="000000"/>
        </w:rPr>
      </w:pPr>
      <w:r w:rsidRPr="00C21B12">
        <w:rPr>
          <w:bCs/>
          <w:color w:val="000000"/>
        </w:rPr>
        <w:t>Nižší cíl oteplení neboli vyšší pravděpodobnost, že oteplení zůstane pod konkrétním cílem, bude vyžadovat nižší kumulativní emise CO</w:t>
      </w:r>
      <w:r w:rsidRPr="00C21B12">
        <w:rPr>
          <w:bCs/>
          <w:color w:val="000000"/>
          <w:vertAlign w:val="subscript"/>
        </w:rPr>
        <w:t>2</w:t>
      </w:r>
      <w:r w:rsidRPr="00C21B12">
        <w:rPr>
          <w:bCs/>
          <w:color w:val="000000"/>
        </w:rPr>
        <w:t>. Také zohlednění oteplovacích účinků zvýšení emisí skleníkových plynů jiných než CO</w:t>
      </w:r>
      <w:r w:rsidRPr="00C21B12">
        <w:rPr>
          <w:bCs/>
          <w:color w:val="000000"/>
          <w:vertAlign w:val="subscript"/>
        </w:rPr>
        <w:t>2</w:t>
      </w:r>
      <w:r w:rsidRPr="00C21B12">
        <w:rPr>
          <w:bCs/>
          <w:color w:val="000000"/>
        </w:rPr>
        <w:t>, snížení emisí aerosolů nebo uvolňování skleníkových plynů z permafrostu snižuje kumulativní emise CO</w:t>
      </w:r>
      <w:r w:rsidRPr="00C21B12">
        <w:rPr>
          <w:bCs/>
          <w:color w:val="000000"/>
          <w:vertAlign w:val="subscript"/>
        </w:rPr>
        <w:t>2</w:t>
      </w:r>
      <w:r w:rsidRPr="00C21B12">
        <w:rPr>
          <w:bCs/>
          <w:color w:val="000000"/>
        </w:rPr>
        <w:t xml:space="preserve"> pro konkrétní cíl oteplení (viz obr. SPM.10). </w:t>
      </w:r>
      <w:r w:rsidRPr="00C21B12">
        <w:rPr>
          <w:color w:val="000000"/>
          <w:spacing w:val="-1"/>
        </w:rPr>
        <w:t>{12.5}</w:t>
      </w:r>
    </w:p>
    <w:p w:rsidR="00C21B12" w:rsidRPr="00C21B12" w:rsidRDefault="00C21B12" w:rsidP="00C21B12">
      <w:pPr>
        <w:pStyle w:val="Bezmezer"/>
        <w:shd w:val="clear" w:color="auto" w:fill="FFFFFF"/>
        <w:jc w:val="both"/>
        <w:rPr>
          <w:bCs/>
          <w:color w:val="000000"/>
        </w:rPr>
      </w:pPr>
    </w:p>
    <w:p w:rsidR="00C21B12" w:rsidRPr="00C21B12" w:rsidRDefault="00C21B12" w:rsidP="00C21B12">
      <w:pPr>
        <w:pStyle w:val="Bezmezer"/>
        <w:numPr>
          <w:ilvl w:val="0"/>
          <w:numId w:val="6"/>
        </w:numPr>
        <w:shd w:val="clear" w:color="auto" w:fill="FFFFFF"/>
        <w:ind w:left="357" w:hanging="357"/>
        <w:jc w:val="both"/>
        <w:rPr>
          <w:bCs/>
          <w:color w:val="000000"/>
        </w:rPr>
      </w:pPr>
      <w:r w:rsidRPr="00C21B12">
        <w:rPr>
          <w:bCs/>
          <w:color w:val="000000"/>
        </w:rPr>
        <w:t>Velká část antropogenní změny klimatu v důsledku emisí CO</w:t>
      </w:r>
      <w:r w:rsidRPr="00C21B12">
        <w:rPr>
          <w:bCs/>
          <w:color w:val="000000"/>
          <w:vertAlign w:val="subscript"/>
        </w:rPr>
        <w:t>2</w:t>
      </w:r>
      <w:r w:rsidRPr="00C21B12">
        <w:rPr>
          <w:bCs/>
          <w:color w:val="000000"/>
        </w:rPr>
        <w:t xml:space="preserve"> je nezvratná v měřítku staletí až tisíciletí s výjimkou případu, kdy po dlouhou dobu bude docházet k výraznému odstraňování CO</w:t>
      </w:r>
      <w:r w:rsidRPr="00C21B12">
        <w:rPr>
          <w:bCs/>
          <w:color w:val="000000"/>
          <w:vertAlign w:val="subscript"/>
        </w:rPr>
        <w:t>2</w:t>
      </w:r>
      <w:r w:rsidRPr="00C21B12">
        <w:rPr>
          <w:bCs/>
          <w:color w:val="000000"/>
        </w:rPr>
        <w:t xml:space="preserve"> z atmosféry. I po úplném zastavení čistých antropogenních emisí CO</w:t>
      </w:r>
      <w:r w:rsidRPr="00C21B12">
        <w:rPr>
          <w:bCs/>
          <w:color w:val="000000"/>
          <w:vertAlign w:val="subscript"/>
        </w:rPr>
        <w:t>2</w:t>
      </w:r>
      <w:r w:rsidRPr="00C21B12">
        <w:rPr>
          <w:bCs/>
          <w:color w:val="000000"/>
        </w:rPr>
        <w:t xml:space="preserve"> zůstanou povrchové teploty po staletí zhruba konstantně na zvýšené úrovni. Vzhledem k pomalému přestupu tepla z povrchu oceánu do jeho hloubek bude oteplování oceánu pokračovat po staletí. V závislosti na scénáři zůstane zhruba 15 až 40 % emitovaného CO</w:t>
      </w:r>
      <w:r w:rsidRPr="00C21B12">
        <w:rPr>
          <w:bCs/>
          <w:color w:val="000000"/>
          <w:vertAlign w:val="subscript"/>
        </w:rPr>
        <w:t>2</w:t>
      </w:r>
      <w:r w:rsidRPr="00C21B12">
        <w:rPr>
          <w:bCs/>
          <w:color w:val="000000"/>
        </w:rPr>
        <w:t xml:space="preserve"> v atmosféře déle než 1000 let. </w:t>
      </w:r>
      <w:r w:rsidRPr="00C21B12">
        <w:rPr>
          <w:color w:val="000000"/>
          <w:spacing w:val="-1"/>
        </w:rPr>
        <w:t>{box 6.1, 12.4,12.5}</w:t>
      </w:r>
    </w:p>
    <w:p w:rsidR="00C21B12" w:rsidRPr="00C21B12" w:rsidRDefault="00C21B12" w:rsidP="00C21B12">
      <w:pPr>
        <w:pStyle w:val="Bezmezer"/>
        <w:numPr>
          <w:ilvl w:val="0"/>
          <w:numId w:val="6"/>
        </w:numPr>
        <w:shd w:val="clear" w:color="auto" w:fill="FFFFFF"/>
        <w:ind w:left="357" w:hanging="357"/>
        <w:jc w:val="both"/>
        <w:rPr>
          <w:bCs/>
          <w:color w:val="000000"/>
        </w:rPr>
      </w:pPr>
      <w:r w:rsidRPr="00C21B12">
        <w:rPr>
          <w:bCs/>
          <w:color w:val="000000"/>
        </w:rPr>
        <w:lastRenderedPageBreak/>
        <w:t xml:space="preserve">Je </w:t>
      </w:r>
      <w:r w:rsidRPr="00C21B12">
        <w:rPr>
          <w:bCs/>
          <w:i/>
          <w:color w:val="000000"/>
        </w:rPr>
        <w:t>prakticky jisté</w:t>
      </w:r>
      <w:r w:rsidRPr="00C21B12">
        <w:rPr>
          <w:bCs/>
          <w:color w:val="000000"/>
        </w:rPr>
        <w:t>, že zvyšování globální průměrné hladiny oceánu bude pokračovat i po roce 2100, přičemž se bude hladina oceánu zvyšovat v důsledku tepelné expanze po mnoho staletí. Několik dostupných výsledků modelů, které jdou za rok 2100, ukazuje, že při RF, odpovídajícímu koncentracím CO</w:t>
      </w:r>
      <w:r w:rsidRPr="00C21B12">
        <w:rPr>
          <w:bCs/>
          <w:color w:val="000000"/>
          <w:vertAlign w:val="subscript"/>
        </w:rPr>
        <w:t>2</w:t>
      </w:r>
      <w:r w:rsidRPr="00C21B12">
        <w:rPr>
          <w:bCs/>
          <w:color w:val="000000"/>
        </w:rPr>
        <w:t xml:space="preserve">, </w:t>
      </w:r>
      <w:r w:rsidR="00732624">
        <w:rPr>
          <w:bCs/>
          <w:color w:val="000000"/>
        </w:rPr>
        <w:t>které zpočátku stoupají, později</w:t>
      </w:r>
      <w:r w:rsidRPr="00C21B12">
        <w:rPr>
          <w:bCs/>
          <w:color w:val="000000"/>
        </w:rPr>
        <w:t xml:space="preserve"> klesají, ale zůstávají pod 500 ppm, jako je tomu u scénáře RCP2.6, vzroste globální střední hladina oceánu do roku 2300 o méně než 1 m nad preindustriální úroveň. U RF, které odpovídá koncentracím CO</w:t>
      </w:r>
      <w:r w:rsidRPr="00C21B12">
        <w:rPr>
          <w:bCs/>
          <w:color w:val="000000"/>
          <w:vertAlign w:val="subscript"/>
        </w:rPr>
        <w:t>2</w:t>
      </w:r>
      <w:r w:rsidRPr="00C21B12">
        <w:rPr>
          <w:bCs/>
          <w:color w:val="000000"/>
        </w:rPr>
        <w:t xml:space="preserve"> nad 700 ppm, ale pod 1500 ppm, jako je tomu ve scénáři RCP8.5, činí projektované zvýšení 1 m až více než 3 m (</w:t>
      </w:r>
      <w:r w:rsidRPr="00C21B12">
        <w:rPr>
          <w:bCs/>
          <w:i/>
          <w:color w:val="000000"/>
        </w:rPr>
        <w:t>střední spolehlivost</w:t>
      </w:r>
      <w:r w:rsidRPr="00C21B12">
        <w:rPr>
          <w:bCs/>
          <w:color w:val="000000"/>
        </w:rPr>
        <w:t xml:space="preserve">). </w:t>
      </w:r>
      <w:r w:rsidRPr="00C21B12">
        <w:rPr>
          <w:color w:val="000000"/>
        </w:rPr>
        <w:t>{13.5}</w:t>
      </w:r>
    </w:p>
    <w:p w:rsidR="00C21B12" w:rsidRDefault="00C21B12" w:rsidP="00C21B12">
      <w:pPr>
        <w:pStyle w:val="Bezmezer"/>
        <w:shd w:val="clear" w:color="auto" w:fill="FFFFFF"/>
        <w:jc w:val="both"/>
        <w:rPr>
          <w:color w:val="000000"/>
        </w:rPr>
      </w:pPr>
    </w:p>
    <w:p w:rsidR="00C21B12" w:rsidRDefault="00C21B12" w:rsidP="00C21B12">
      <w:pPr>
        <w:pStyle w:val="Bezmezer"/>
        <w:shd w:val="clear" w:color="auto" w:fill="FFFFFF"/>
        <w:jc w:val="both"/>
        <w:rPr>
          <w:bCs/>
          <w:color w:val="000000"/>
        </w:rPr>
      </w:pPr>
      <w:r>
        <w:rPr>
          <w:bCs/>
          <w:noProof/>
          <w:color w:val="000000"/>
        </w:rPr>
        <w:drawing>
          <wp:inline distT="0" distB="0" distL="0" distR="0">
            <wp:extent cx="6184900" cy="4939030"/>
            <wp:effectExtent l="19050" t="0" r="6350" b="0"/>
            <wp:docPr id="15" name="Obrázek 14" descr="SPM Fig10_final-C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M Fig10_final-CZ.jpg"/>
                    <pic:cNvPicPr/>
                  </pic:nvPicPr>
                  <pic:blipFill>
                    <a:blip r:embed="rId22" cstate="print"/>
                    <a:stretch>
                      <a:fillRect/>
                    </a:stretch>
                  </pic:blipFill>
                  <pic:spPr>
                    <a:xfrm>
                      <a:off x="0" y="0"/>
                      <a:ext cx="6184900" cy="4939030"/>
                    </a:xfrm>
                    <a:prstGeom prst="rect">
                      <a:avLst/>
                    </a:prstGeom>
                  </pic:spPr>
                </pic:pic>
              </a:graphicData>
            </a:graphic>
          </wp:inline>
        </w:drawing>
      </w:r>
    </w:p>
    <w:p w:rsidR="00C21B12" w:rsidRDefault="00C21B12" w:rsidP="00C21B12">
      <w:pPr>
        <w:pStyle w:val="Bezmezer"/>
        <w:shd w:val="clear" w:color="auto" w:fill="FFFFFF"/>
        <w:jc w:val="both"/>
        <w:rPr>
          <w:bCs/>
          <w:color w:val="000000"/>
        </w:rPr>
      </w:pPr>
    </w:p>
    <w:p w:rsidR="00C21B12" w:rsidRPr="00C21B12" w:rsidRDefault="00743C8E" w:rsidP="00C21B12">
      <w:pPr>
        <w:shd w:val="clear" w:color="auto" w:fill="FFFFFF"/>
        <w:jc w:val="both"/>
        <w:rPr>
          <w:b/>
          <w:bCs/>
          <w:color w:val="000000"/>
          <w:spacing w:val="-1"/>
          <w:sz w:val="16"/>
          <w:szCs w:val="16"/>
        </w:rPr>
      </w:pPr>
      <w:r>
        <w:rPr>
          <w:b/>
          <w:bCs/>
          <w:color w:val="000000"/>
          <w:spacing w:val="-1"/>
          <w:sz w:val="16"/>
          <w:szCs w:val="16"/>
        </w:rPr>
        <w:t>Obr.</w:t>
      </w:r>
      <w:r w:rsidR="00C21B12" w:rsidRPr="00C21B12">
        <w:rPr>
          <w:b/>
          <w:bCs/>
          <w:color w:val="000000"/>
          <w:spacing w:val="-1"/>
          <w:sz w:val="16"/>
          <w:szCs w:val="16"/>
        </w:rPr>
        <w:t xml:space="preserve"> SPM.10:</w:t>
      </w:r>
      <w:r w:rsidR="00C21B12" w:rsidRPr="00C21B12">
        <w:rPr>
          <w:bCs/>
          <w:color w:val="000000"/>
          <w:spacing w:val="-1"/>
          <w:sz w:val="16"/>
          <w:szCs w:val="16"/>
        </w:rPr>
        <w:t xml:space="preserve"> Zvýšení průměrné globální teploty při povrchu jako funkce kumulativních celkových globálních emisí CO</w:t>
      </w:r>
      <w:r w:rsidR="00C21B12" w:rsidRPr="00C21B12">
        <w:rPr>
          <w:bCs/>
          <w:color w:val="000000"/>
          <w:spacing w:val="-1"/>
          <w:sz w:val="16"/>
          <w:szCs w:val="16"/>
          <w:vertAlign w:val="subscript"/>
        </w:rPr>
        <w:t>2</w:t>
      </w:r>
      <w:r w:rsidR="00C21B12" w:rsidRPr="00C21B12">
        <w:rPr>
          <w:bCs/>
          <w:color w:val="000000"/>
          <w:spacing w:val="-1"/>
          <w:sz w:val="16"/>
          <w:szCs w:val="16"/>
        </w:rPr>
        <w:t xml:space="preserve"> podle různých typů výstupů. Multimodelové výsledky hierarchie modelů klimatu a koloběhu uhlíku pro jednotlivé scénáře RCP do roku 2100 jsou znázorněny barevnými křivkami a desetiletými průměry (tečky). Pro přehlednost jsou některé desetileté průměry uvedeny (např. 2050 označuje dekádu 2041-2050). Modelové výsledky pro historické období (1860-2010) jsou vyznačeny černě. Barevné pruhy ilustrují rozptyl modelů podle čtyř scénářů RCP a blednou se snižujícím se počtem dostupných modelů u scénáře RCP8.5. Multimodelový průměr a rozsah simulovaný pomocí modelů CMIP5 na základě nárůstu CO</w:t>
      </w:r>
      <w:r w:rsidR="00C21B12" w:rsidRPr="00C21B12">
        <w:rPr>
          <w:bCs/>
          <w:color w:val="000000"/>
          <w:spacing w:val="-1"/>
          <w:sz w:val="16"/>
          <w:szCs w:val="16"/>
          <w:vertAlign w:val="subscript"/>
        </w:rPr>
        <w:t>2</w:t>
      </w:r>
      <w:r w:rsidR="00C21B12" w:rsidRPr="00C21B12">
        <w:rPr>
          <w:bCs/>
          <w:color w:val="000000"/>
          <w:spacing w:val="-1"/>
          <w:sz w:val="16"/>
          <w:szCs w:val="16"/>
        </w:rPr>
        <w:t xml:space="preserve"> ve výši 1 % ročně (simulace „CO</w:t>
      </w:r>
      <w:r w:rsidR="00C21B12" w:rsidRPr="00C21B12">
        <w:rPr>
          <w:bCs/>
          <w:color w:val="000000"/>
          <w:spacing w:val="-1"/>
          <w:sz w:val="16"/>
          <w:szCs w:val="16"/>
          <w:vertAlign w:val="subscript"/>
        </w:rPr>
        <w:t>2</w:t>
      </w:r>
      <w:r w:rsidR="00C21B12" w:rsidRPr="00C21B12">
        <w:rPr>
          <w:bCs/>
          <w:color w:val="000000"/>
          <w:spacing w:val="-1"/>
          <w:sz w:val="16"/>
          <w:szCs w:val="16"/>
        </w:rPr>
        <w:t xml:space="preserve"> 1%/rok - rozsah“) je znázorněn tenkou černou čárou a šedou oblastí. Pro konkrétní množství kumulativních emisí CO</w:t>
      </w:r>
      <w:r w:rsidR="00C21B12" w:rsidRPr="00C21B12">
        <w:rPr>
          <w:bCs/>
          <w:color w:val="000000"/>
          <w:spacing w:val="-1"/>
          <w:sz w:val="16"/>
          <w:szCs w:val="16"/>
          <w:vertAlign w:val="subscript"/>
        </w:rPr>
        <w:t>2</w:t>
      </w:r>
      <w:r w:rsidR="00C21B12" w:rsidRPr="00C21B12">
        <w:rPr>
          <w:bCs/>
          <w:color w:val="000000"/>
          <w:spacing w:val="-1"/>
          <w:sz w:val="16"/>
          <w:szCs w:val="16"/>
        </w:rPr>
        <w:t xml:space="preserve"> vykazují simulace jednoprocentního nárůstu CO</w:t>
      </w:r>
      <w:r w:rsidR="00C21B12" w:rsidRPr="00C21B12">
        <w:rPr>
          <w:bCs/>
          <w:color w:val="000000"/>
          <w:spacing w:val="-1"/>
          <w:sz w:val="16"/>
          <w:szCs w:val="16"/>
          <w:vertAlign w:val="subscript"/>
        </w:rPr>
        <w:t>2</w:t>
      </w:r>
      <w:r w:rsidR="00C21B12" w:rsidRPr="00C21B12">
        <w:rPr>
          <w:bCs/>
          <w:color w:val="000000"/>
          <w:spacing w:val="-1"/>
          <w:sz w:val="16"/>
          <w:szCs w:val="16"/>
        </w:rPr>
        <w:t xml:space="preserve"> za rok nižší oteplení než simulace na základě scénářů RCP, které zahrnují i další příčiny mimo CO</w:t>
      </w:r>
      <w:r w:rsidR="00C21B12" w:rsidRPr="00C21B12">
        <w:rPr>
          <w:bCs/>
          <w:color w:val="000000"/>
          <w:spacing w:val="-1"/>
          <w:sz w:val="16"/>
          <w:szCs w:val="16"/>
          <w:vertAlign w:val="subscript"/>
        </w:rPr>
        <w:t>2</w:t>
      </w:r>
      <w:r w:rsidR="00C21B12" w:rsidRPr="00C21B12">
        <w:rPr>
          <w:bCs/>
          <w:color w:val="000000"/>
          <w:spacing w:val="-1"/>
          <w:sz w:val="16"/>
          <w:szCs w:val="16"/>
        </w:rPr>
        <w:t xml:space="preserve">. Všechny hodnoty jsou uvedeny v porovnání s výchozím obdobím let 1861-1880. Desetileté průměry jsou spojeny úsečkami. </w:t>
      </w:r>
      <w:r w:rsidR="00C21B12" w:rsidRPr="00C21B12">
        <w:rPr>
          <w:color w:val="000000"/>
          <w:sz w:val="16"/>
          <w:szCs w:val="16"/>
        </w:rPr>
        <w:t xml:space="preserve">{obr. 12.45; </w:t>
      </w:r>
      <w:r w:rsidR="00E06912">
        <w:rPr>
          <w:color w:val="000000"/>
          <w:sz w:val="16"/>
          <w:szCs w:val="16"/>
        </w:rPr>
        <w:t xml:space="preserve">TS </w:t>
      </w:r>
      <w:r w:rsidR="00C21B12" w:rsidRPr="00C21B12">
        <w:rPr>
          <w:color w:val="000000"/>
          <w:sz w:val="16"/>
          <w:szCs w:val="16"/>
        </w:rPr>
        <w:t>TFE.8, obr. 1}</w:t>
      </w:r>
    </w:p>
    <w:p w:rsidR="00C21B12" w:rsidRPr="00C21B12" w:rsidRDefault="00C21B12" w:rsidP="00C21B12">
      <w:pPr>
        <w:pStyle w:val="Bezmezer"/>
        <w:shd w:val="clear" w:color="auto" w:fill="FFFFFF"/>
        <w:jc w:val="both"/>
        <w:rPr>
          <w:bCs/>
          <w:color w:val="000000"/>
        </w:rPr>
      </w:pPr>
    </w:p>
    <w:p w:rsidR="00C21B12" w:rsidRPr="00C21B12" w:rsidRDefault="00C21B12" w:rsidP="00C21B12">
      <w:pPr>
        <w:pStyle w:val="Bezmezer"/>
        <w:shd w:val="clear" w:color="auto" w:fill="FFFFFF"/>
        <w:ind w:left="357"/>
        <w:jc w:val="both"/>
        <w:rPr>
          <w:bCs/>
          <w:color w:val="000000"/>
        </w:rPr>
      </w:pPr>
    </w:p>
    <w:p w:rsidR="00C21B12" w:rsidRPr="00C21B12" w:rsidRDefault="00C21B12" w:rsidP="00C21B12">
      <w:pPr>
        <w:pStyle w:val="Bezmezer"/>
        <w:numPr>
          <w:ilvl w:val="0"/>
          <w:numId w:val="6"/>
        </w:numPr>
        <w:shd w:val="clear" w:color="auto" w:fill="FFFFFF"/>
        <w:ind w:left="357" w:hanging="357"/>
        <w:jc w:val="both"/>
        <w:rPr>
          <w:bCs/>
          <w:color w:val="000000"/>
        </w:rPr>
      </w:pPr>
      <w:r w:rsidRPr="00C21B12">
        <w:rPr>
          <w:bCs/>
          <w:color w:val="000000"/>
        </w:rPr>
        <w:t>Trvalý úbytek hmoty ledovco</w:t>
      </w:r>
      <w:r w:rsidR="00732624">
        <w:rPr>
          <w:bCs/>
          <w:color w:val="000000"/>
        </w:rPr>
        <w:t>v</w:t>
      </w:r>
      <w:r w:rsidRPr="00C21B12">
        <w:rPr>
          <w:bCs/>
          <w:color w:val="000000"/>
        </w:rPr>
        <w:t xml:space="preserve">ých příkrovů by způsobil vyšší vzestup hladiny oceánu, přičemž v některých místech by mohl být úbytek ledové hmoty nezvratný. Existuje </w:t>
      </w:r>
      <w:r w:rsidRPr="00C21B12">
        <w:rPr>
          <w:bCs/>
          <w:i/>
          <w:color w:val="000000"/>
        </w:rPr>
        <w:t>vysoká spolehlivost</w:t>
      </w:r>
      <w:r w:rsidRPr="00C21B12">
        <w:rPr>
          <w:bCs/>
          <w:color w:val="000000"/>
        </w:rPr>
        <w:t>, že trvalé oteplení nad určitý limit by vedlo k téměř úplnému roztátí grónského ledovce v horizontu tisíciletí či delším, což by vyvolalo vzestup globální střední hladiny oceánu až o 7 m. Současné odhady ukazují, že tento limit je větší než 1°C (</w:t>
      </w:r>
      <w:r w:rsidRPr="00C21B12">
        <w:rPr>
          <w:bCs/>
          <w:i/>
          <w:color w:val="000000"/>
        </w:rPr>
        <w:t>nízká spolehlivost</w:t>
      </w:r>
      <w:r w:rsidRPr="00C21B12">
        <w:rPr>
          <w:bCs/>
          <w:color w:val="000000"/>
        </w:rPr>
        <w:t>), ale menší než přibližně 4°C (</w:t>
      </w:r>
      <w:r w:rsidRPr="00C21B12">
        <w:rPr>
          <w:bCs/>
          <w:i/>
          <w:color w:val="000000"/>
        </w:rPr>
        <w:t>střední spolehlivost</w:t>
      </w:r>
      <w:r w:rsidRPr="00C21B12">
        <w:rPr>
          <w:bCs/>
          <w:color w:val="000000"/>
        </w:rPr>
        <w:t xml:space="preserve">) průměrného globálního oteplení v porovnání s preindustriální érou. Náhlé a nevratné roztátí ledu v důsledku potenciální nestability mořských oblastí antarktického ledového příkrovu v reakci na klimatické vlivy je možné, ale současné výstupy a poznatky nepostačují na kvantitativní posouzení. </w:t>
      </w:r>
      <w:r w:rsidRPr="00C21B12">
        <w:rPr>
          <w:color w:val="000000"/>
        </w:rPr>
        <w:t>{5.8, 13.4, 13.5}</w:t>
      </w:r>
    </w:p>
    <w:p w:rsidR="00C21B12" w:rsidRPr="00C21B12" w:rsidRDefault="00C21B12" w:rsidP="00C21B12">
      <w:pPr>
        <w:pStyle w:val="Bezmezer"/>
        <w:shd w:val="clear" w:color="auto" w:fill="FFFFFF"/>
        <w:jc w:val="both"/>
        <w:rPr>
          <w:bCs/>
          <w:color w:val="000000"/>
        </w:rPr>
      </w:pPr>
    </w:p>
    <w:p w:rsidR="00C21B12" w:rsidRPr="00C21B12" w:rsidRDefault="00C21B12" w:rsidP="00C21B12">
      <w:pPr>
        <w:pStyle w:val="Bezmezer"/>
        <w:numPr>
          <w:ilvl w:val="0"/>
          <w:numId w:val="6"/>
        </w:numPr>
        <w:shd w:val="clear" w:color="auto" w:fill="FFFFFF"/>
        <w:ind w:left="357" w:hanging="357"/>
        <w:jc w:val="both"/>
        <w:rPr>
          <w:bCs/>
          <w:color w:val="000000"/>
        </w:rPr>
      </w:pPr>
      <w:r w:rsidRPr="00C21B12">
        <w:rPr>
          <w:bCs/>
          <w:color w:val="000000"/>
        </w:rPr>
        <w:t>Byly navrženy metody, směřující k úmyslnému ovlivnění klimatického systému, za účelem odvrácení změny klimatu; tyto metody se nazývají geoinženýring. Protože je k dispozici jen málo výstupů, nelze provést komplexní kvantitativní zhodnocení metod řízení slunečního záření (</w:t>
      </w:r>
      <w:r w:rsidRPr="00C21B12">
        <w:rPr>
          <w:color w:val="000000"/>
        </w:rPr>
        <w:t>Solar Radiation Management, SRM) ani metod odstraňování oxidu uhličitého (Carbon Dioxide Removal, CDR) a jejich dopadu na klimatický systém. Metody CDR mají svá biogeochemická a technologická omezení z hlediska jejich potenciálu v globálním měřítku. Nemáme dostatek poznatků, abychom mohli kvantifikovat, kolik emisí CO</w:t>
      </w:r>
      <w:r w:rsidRPr="00C21B12">
        <w:rPr>
          <w:color w:val="000000"/>
          <w:vertAlign w:val="subscript"/>
        </w:rPr>
        <w:t>2</w:t>
      </w:r>
      <w:r w:rsidRPr="00C21B12">
        <w:rPr>
          <w:color w:val="000000"/>
        </w:rPr>
        <w:t xml:space="preserve"> by se dalo částečně kompenzovat metodami CDR v horizontu století. Modelování ukazuje, že pokud by byly proveditelné metody SRM, mohly by podstatně zabránit vzrůstu globální teploty, ale ovlivnily by také globální koloběh vody a nesnížily by acidifikaci oceánu. Pokud by bylo SRM z jakéhokoli důvodu ukončeno, existuje </w:t>
      </w:r>
      <w:r w:rsidRPr="00C21B12">
        <w:rPr>
          <w:i/>
          <w:color w:val="000000"/>
        </w:rPr>
        <w:t>vysoká spolehlivost</w:t>
      </w:r>
      <w:r w:rsidRPr="00C21B12">
        <w:rPr>
          <w:color w:val="000000"/>
        </w:rPr>
        <w:t>, že by globální teploty při povrchu velmi rychle vzrostly na hodnoty odpovídající působení skleníkových plynů. Metody CDR a SRM mají v globálním měřítku vedlejší účinky a dlouhodobé důsledky. {6.5, 7.7}</w:t>
      </w:r>
    </w:p>
    <w:p w:rsidR="00C21B12" w:rsidRDefault="00C21B12" w:rsidP="00C21B12">
      <w:pPr>
        <w:pStyle w:val="Bezmezer"/>
        <w:shd w:val="clear" w:color="auto" w:fill="FFFFFF"/>
        <w:jc w:val="both"/>
        <w:rPr>
          <w:color w:val="000000"/>
        </w:rPr>
      </w:pPr>
    </w:p>
    <w:p w:rsidR="00C21B12" w:rsidRPr="00C21B12" w:rsidRDefault="00C3040A" w:rsidP="00C21B12">
      <w:pPr>
        <w:shd w:val="clear" w:color="auto" w:fill="FFFFFF"/>
        <w:spacing w:before="360"/>
        <w:ind w:left="6"/>
        <w:rPr>
          <w:sz w:val="28"/>
          <w:szCs w:val="28"/>
        </w:rPr>
      </w:pPr>
      <w:r>
        <w:rPr>
          <w:noProof/>
          <w:sz w:val="28"/>
          <w:szCs w:val="28"/>
        </w:rPr>
        <mc:AlternateContent>
          <mc:Choice Requires="wps">
            <w:drawing>
              <wp:anchor distT="0" distB="0" distL="114300" distR="114300" simplePos="0" relativeHeight="251689984" behindDoc="0" locked="0" layoutInCell="1" allowOverlap="1">
                <wp:simplePos x="0" y="0"/>
                <wp:positionH relativeFrom="column">
                  <wp:posOffset>-10795</wp:posOffset>
                </wp:positionH>
                <wp:positionV relativeFrom="paragraph">
                  <wp:posOffset>33020</wp:posOffset>
                </wp:positionV>
                <wp:extent cx="6151880" cy="5988050"/>
                <wp:effectExtent l="8255" t="13970" r="12065" b="5715"/>
                <wp:wrapNone/>
                <wp:docPr id="3"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1880" cy="5988050"/>
                        </a:xfrm>
                        <a:prstGeom prst="rect">
                          <a:avLst/>
                        </a:prstGeom>
                        <a:solidFill>
                          <a:schemeClr val="accent1">
                            <a:lumMod val="40000"/>
                            <a:lumOff val="60000"/>
                          </a:schemeClr>
                        </a:solidFill>
                        <a:ln w="9525">
                          <a:solidFill>
                            <a:schemeClr val="accent1">
                              <a:lumMod val="40000"/>
                              <a:lumOff val="60000"/>
                            </a:schemeClr>
                          </a:solidFill>
                          <a:miter lim="800000"/>
                          <a:headEnd/>
                          <a:tailEnd/>
                        </a:ln>
                      </wps:spPr>
                      <wps:txbx>
                        <w:txbxContent>
                          <w:p w:rsidR="00C21B12" w:rsidRPr="00C21B12" w:rsidRDefault="00C21B12" w:rsidP="00C21B12">
                            <w:pPr>
                              <w:spacing w:before="254"/>
                              <w:jc w:val="both"/>
                              <w:rPr>
                                <w:color w:val="000000"/>
                                <w:spacing w:val="-1"/>
                              </w:rPr>
                            </w:pPr>
                            <w:r w:rsidRPr="00C21B12">
                              <w:rPr>
                                <w:b/>
                                <w:bCs/>
                                <w:color w:val="000000"/>
                                <w:spacing w:val="-1"/>
                              </w:rPr>
                              <w:t xml:space="preserve">Box SPM.1: </w:t>
                            </w:r>
                            <w:r w:rsidRPr="00C21B12">
                              <w:rPr>
                                <w:bCs/>
                                <w:color w:val="000000"/>
                                <w:spacing w:val="-1"/>
                              </w:rPr>
                              <w:t xml:space="preserve">Reprezentativní </w:t>
                            </w:r>
                            <w:r w:rsidRPr="00C21B12">
                              <w:rPr>
                                <w:color w:val="000000"/>
                                <w:spacing w:val="-10"/>
                              </w:rPr>
                              <w:t>směry vývoje koncentrací</w:t>
                            </w:r>
                            <w:r w:rsidRPr="00C21B12">
                              <w:rPr>
                                <w:b/>
                                <w:bCs/>
                                <w:color w:val="000000"/>
                                <w:spacing w:val="-1"/>
                              </w:rPr>
                              <w:t xml:space="preserve"> (</w:t>
                            </w:r>
                            <w:r w:rsidRPr="00C21B12">
                              <w:rPr>
                                <w:color w:val="000000"/>
                                <w:spacing w:val="-1"/>
                              </w:rPr>
                              <w:t>Representative Concentration Pathways - RCP)</w:t>
                            </w:r>
                          </w:p>
                          <w:p w:rsidR="00C21B12" w:rsidRPr="00C21B12" w:rsidRDefault="00C21B12" w:rsidP="00C21B12">
                            <w:pPr>
                              <w:spacing w:before="254"/>
                              <w:jc w:val="both"/>
                              <w:rPr>
                                <w:color w:val="000000"/>
                                <w:spacing w:val="-1"/>
                              </w:rPr>
                            </w:pPr>
                            <w:r w:rsidRPr="00C21B12">
                              <w:rPr>
                                <w:color w:val="000000"/>
                                <w:spacing w:val="-1"/>
                              </w:rPr>
                              <w:t>Projekce změny klimatu v Pracovní skupině I (WGI) vyžadují informace o budoucích emisích či koncentracích skleníkových plynů, aerosolů a jiných faktorů ovlivňujících klima. Tyto informace bývají často vyjádřeny jako scénáře lidské činnosti, které nejsou v této zprávě hodnoceny. Scénáře IPCC WGI se zaměřují na antropogenní emise a nezahrnují změny přirozených příčin, jako je vliv sluneční aktivity či vulkanické aktivity nebo přirozené emise např. CH</w:t>
                            </w:r>
                            <w:r w:rsidRPr="00C21B12">
                              <w:rPr>
                                <w:color w:val="000000"/>
                                <w:spacing w:val="-1"/>
                                <w:vertAlign w:val="subscript"/>
                              </w:rPr>
                              <w:t>4</w:t>
                            </w:r>
                            <w:r w:rsidRPr="00C21B12">
                              <w:rPr>
                                <w:color w:val="000000"/>
                                <w:spacing w:val="-1"/>
                              </w:rPr>
                              <w:t xml:space="preserve"> či N</w:t>
                            </w:r>
                            <w:r w:rsidRPr="00C21B12">
                              <w:rPr>
                                <w:color w:val="000000"/>
                                <w:spacing w:val="-1"/>
                                <w:vertAlign w:val="subscript"/>
                              </w:rPr>
                              <w:t>2</w:t>
                            </w:r>
                            <w:r w:rsidRPr="00C21B12">
                              <w:rPr>
                                <w:color w:val="000000"/>
                                <w:spacing w:val="-1"/>
                              </w:rPr>
                              <w:t>O.</w:t>
                            </w:r>
                          </w:p>
                          <w:p w:rsidR="00C21B12" w:rsidRPr="00C21B12" w:rsidRDefault="00C21B12" w:rsidP="00C21B12">
                            <w:pPr>
                              <w:spacing w:before="254"/>
                              <w:jc w:val="both"/>
                              <w:rPr>
                                <w:color w:val="000000"/>
                              </w:rPr>
                            </w:pPr>
                            <w:r w:rsidRPr="00C21B12">
                              <w:rPr>
                                <w:color w:val="000000"/>
                                <w:spacing w:val="-1"/>
                              </w:rPr>
                              <w:t>Pro Pátou hodnotící zprávu IPCC definovala vědecká komunita sérii čtyř nových scénářů, které se nazývají Reprezentativní směry vývoje koncentrací (RCP, viz Slovníček). Jsou označeny podle přibližného celkového RF v roce 2100 v porovnání s rokem 1750: 2.6 W.m</w:t>
                            </w:r>
                            <w:r w:rsidRPr="00C21B12">
                              <w:rPr>
                                <w:color w:val="000000"/>
                                <w:spacing w:val="-1"/>
                                <w:vertAlign w:val="superscript"/>
                              </w:rPr>
                              <w:t>-2</w:t>
                            </w:r>
                            <w:r w:rsidRPr="00C21B12">
                              <w:rPr>
                                <w:color w:val="000000"/>
                                <w:spacing w:val="-1"/>
                              </w:rPr>
                              <w:t xml:space="preserve"> u scénáře RCP2.6, 4,5 W.m</w:t>
                            </w:r>
                            <w:r w:rsidRPr="00C21B12">
                              <w:rPr>
                                <w:color w:val="000000"/>
                                <w:spacing w:val="-1"/>
                                <w:vertAlign w:val="superscript"/>
                              </w:rPr>
                              <w:t>-2</w:t>
                            </w:r>
                            <w:r w:rsidRPr="00C21B12">
                              <w:rPr>
                                <w:color w:val="000000"/>
                                <w:spacing w:val="-1"/>
                              </w:rPr>
                              <w:t xml:space="preserve"> u scénáře RCP4.5, 6,0 W.m</w:t>
                            </w:r>
                            <w:r w:rsidRPr="00C21B12">
                              <w:rPr>
                                <w:color w:val="000000"/>
                                <w:spacing w:val="-1"/>
                                <w:vertAlign w:val="superscript"/>
                              </w:rPr>
                              <w:t>-2</w:t>
                            </w:r>
                            <w:r w:rsidRPr="00C21B12">
                              <w:rPr>
                                <w:color w:val="000000"/>
                                <w:spacing w:val="-1"/>
                              </w:rPr>
                              <w:t xml:space="preserve"> u scénáře RCP6.0 a 8.5 W.m</w:t>
                            </w:r>
                            <w:r w:rsidRPr="00C21B12">
                              <w:rPr>
                                <w:color w:val="000000"/>
                                <w:spacing w:val="-1"/>
                                <w:vertAlign w:val="superscript"/>
                              </w:rPr>
                              <w:t>-2</w:t>
                            </w:r>
                            <w:r w:rsidRPr="00C21B12">
                              <w:rPr>
                                <w:color w:val="000000"/>
                                <w:spacing w:val="-1"/>
                              </w:rPr>
                              <w:t xml:space="preserve"> u scénáře RCP8.5. U výsledků modelů projektu CMIP5 (</w:t>
                            </w:r>
                            <w:r w:rsidRPr="00C21B12">
                              <w:rPr>
                                <w:color w:val="000000"/>
                              </w:rPr>
                              <w:t>Coupled Model Intercomparison Project Phase 5) je třeba považovat tyto hodnoty pouze za indikativní, protože všechny faktory působící na klima se u různých modelů liší vzhledem k jejich specifickým charakteristikám a způsobu, jak pracují s krátkodobými vlivy na klima. Tyto čtyři scénáře RCP zahrnují jeden scénář zmírňujících opatření, který vede k velmi nízké úrovni vlivu (RCP2.6), dva stabilizační scénáře (RCP4.5 a RCP6) a jeden scénář s velmi vysokými emisemi skleníkových plynů (RCP8.5). Scénáře RCP tak mohou představovat celý rozsah politik v oblasti klimatu pro 21. století v porovnání s emisními scénáři ke zvláštní zprávě (SRES) neobsahujícími žádnou politiku pro oblast klimatu, které byly použity u Třetí hodnotící zprávy a Čtvrté hodnotící zprávy. U scénářů RCP6.0 a RCP8.5 nedosahuje RF svého vrcholu do roku 2100; u scénáře RCP2.6 během 21.století vrcholí a klesá a u scénáře RCP 4.5 se do roku 2100 stabilizuje. Každý scénář RCP poskytuje prostorově odlišné datové soubory změny využívání půdy a emisí znečišťujících látek do ovzduší v rozdělení podle sektorů a specifikuje roční koncentrace skleníkových plynů a antropogenní emise do roku 2100. Scénáře RCP vycházejí z kombinace integrovaných hodnotících modelů, jednoduchých klimatických modelů, modelů chemických procesů v atmosféře a modelů uhlíkového cyklu. Přestože scénáře RCP pokrývají široký rozsah celkových hodnot RF, nezahrnují veškerý rozsah emisí uváděný v odborné literatuře, zejména u aerosolů.</w:t>
                            </w:r>
                          </w:p>
                          <w:p w:rsidR="00C21B12" w:rsidRDefault="00C21B12" w:rsidP="00C21B12">
                            <w:pPr>
                              <w:jc w:val="both"/>
                              <w:rPr>
                                <w:color w:val="000000"/>
                              </w:rPr>
                            </w:pPr>
                          </w:p>
                          <w:p w:rsidR="00C21B12" w:rsidRPr="00C21B12" w:rsidRDefault="00C21B12" w:rsidP="00C21B12">
                            <w:pPr>
                              <w:jc w:val="both"/>
                            </w:pPr>
                            <w:r w:rsidRPr="00C21B12">
                              <w:rPr>
                                <w:color w:val="000000"/>
                              </w:rPr>
                              <w:t>Většina simulací CMIP5 a ESM (Earth System Model) byla provedena s předepsanými koncentracemi CO</w:t>
                            </w:r>
                            <w:r w:rsidRPr="00C21B12">
                              <w:rPr>
                                <w:color w:val="000000"/>
                                <w:vertAlign w:val="subscript"/>
                              </w:rPr>
                              <w:t>2</w:t>
                            </w:r>
                            <w:r w:rsidRPr="00C21B12">
                              <w:rPr>
                                <w:color w:val="000000"/>
                              </w:rPr>
                              <w:t xml:space="preserve"> ve výši </w:t>
                            </w:r>
                            <w:r w:rsidRPr="00C21B12">
                              <w:rPr>
                                <w:color w:val="000000"/>
                                <w:spacing w:val="-1"/>
                              </w:rPr>
                              <w:t xml:space="preserve">421 ppm (RCP2.6), 538 ppm (RCP4.5), 670 ppm (RCP6.0) a 936 </w:t>
                            </w:r>
                            <w:r w:rsidRPr="00C21B12">
                              <w:rPr>
                                <w:color w:val="000000"/>
                              </w:rPr>
                              <w:t>ppm (RCP 8.5) k roku 2100. Včetně předepsaných koncentrací CH</w:t>
                            </w:r>
                            <w:r w:rsidRPr="00C21B12">
                              <w:rPr>
                                <w:color w:val="000000"/>
                                <w:vertAlign w:val="subscript"/>
                              </w:rPr>
                              <w:t>4</w:t>
                            </w:r>
                            <w:r w:rsidRPr="00C21B12">
                              <w:rPr>
                                <w:color w:val="000000"/>
                              </w:rPr>
                              <w:t xml:space="preserve"> a N</w:t>
                            </w:r>
                            <w:r w:rsidRPr="00C21B12">
                              <w:rPr>
                                <w:color w:val="000000"/>
                                <w:vertAlign w:val="subscript"/>
                              </w:rPr>
                              <w:t>2</w:t>
                            </w:r>
                            <w:r w:rsidRPr="00C21B12">
                              <w:rPr>
                                <w:color w:val="000000"/>
                              </w:rPr>
                              <w:t>O činí kombinované ekvivalentní koncentrace CO</w:t>
                            </w:r>
                            <w:r w:rsidRPr="00C21B12">
                              <w:rPr>
                                <w:color w:val="000000"/>
                                <w:vertAlign w:val="subscript"/>
                              </w:rPr>
                              <w:t>2</w:t>
                            </w:r>
                            <w:r w:rsidRPr="00C21B12">
                              <w:rPr>
                                <w:color w:val="000000"/>
                              </w:rPr>
                              <w:t xml:space="preserve"> </w:t>
                            </w:r>
                            <w:r w:rsidRPr="00C21B12">
                              <w:rPr>
                                <w:color w:val="000000"/>
                                <w:spacing w:val="-1"/>
                              </w:rPr>
                              <w:t xml:space="preserve">475 ppm (RCP2.6), 630 ppm (RCP4.5), 800 ppm </w:t>
                            </w:r>
                            <w:r w:rsidRPr="00C21B12">
                              <w:rPr>
                                <w:color w:val="000000"/>
                              </w:rPr>
                              <w:t>(RCP6.0) a 1313 ppm (RCP8.5). U scénáře RCP8.5 jsou provedeny další simulace CMIP5 ESM se stanovenými emisemi CO</w:t>
                            </w:r>
                            <w:r w:rsidRPr="00C21B12">
                              <w:rPr>
                                <w:color w:val="000000"/>
                                <w:vertAlign w:val="subscript"/>
                              </w:rPr>
                              <w:t>2</w:t>
                            </w:r>
                            <w:r w:rsidRPr="00C21B12">
                              <w:rPr>
                                <w:color w:val="000000"/>
                              </w:rPr>
                              <w:t>, jak je uvedeno v integrovaných hodnotících modelech. Pro všechny scénáře RCP byly provedeny další výpočty s aktualizovanými údaji o chemickém složení atmosféry a o modelech (včetně chemického složení atmosféry a klimatické komponenty modelů CMIP5) s použitím emisí chemicky reaktivních plynů (CH</w:t>
                            </w:r>
                            <w:r w:rsidRPr="00C21B12">
                              <w:rPr>
                                <w:color w:val="000000"/>
                                <w:vertAlign w:val="subscript"/>
                              </w:rPr>
                              <w:t>4</w:t>
                            </w:r>
                            <w:r w:rsidRPr="00C21B12">
                              <w:rPr>
                                <w:color w:val="000000"/>
                              </w:rPr>
                              <w:t>, N</w:t>
                            </w:r>
                            <w:r w:rsidRPr="00C21B12">
                              <w:rPr>
                                <w:color w:val="000000"/>
                                <w:vertAlign w:val="subscript"/>
                              </w:rPr>
                              <w:t>2</w:t>
                            </w:r>
                            <w:r w:rsidRPr="00C21B12">
                              <w:rPr>
                                <w:color w:val="000000"/>
                              </w:rPr>
                              <w:t>O, HFC, NO</w:t>
                            </w:r>
                            <w:r w:rsidRPr="00C21B12">
                              <w:rPr>
                                <w:color w:val="000000"/>
                                <w:vertAlign w:val="subscript"/>
                              </w:rPr>
                              <w:t>x</w:t>
                            </w:r>
                            <w:r w:rsidRPr="00C21B12">
                              <w:rPr>
                                <w:color w:val="000000"/>
                              </w:rPr>
                              <w:t>, CO, nemetanové těkavé organické sloučeniny – NMVOC), stanovených podle scénářů RCP. Tyto simulace umožňují výzkum nejistot týkajících se zpětných vazeb v koloběhu uhlíku a chemického složení atmosféry.</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31" o:spid="_x0000_s1045" type="#_x0000_t202" style="position:absolute;left:0;text-align:left;margin-left:-.85pt;margin-top:2.6pt;width:484.4pt;height:471.5pt;z-index:2516899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" fillcolor="#b8cce4 [1300]" strokecolor="#b8cce4 [1300]">
                <v:textbox style="mso-fit-shape-to-text:t">
                  <w:txbxContent>
                    <w:p w:rsidR="00C21B12" w:rsidRPr="00C21B12" w:rsidRDefault="00C21B12" w:rsidP="00C21B12">
                      <w:pPr>
                        <w:spacing w:before="254"/>
                        <w:jc w:val="both"/>
                        <w:rPr>
                          <w:color w:val="000000"/>
                          <w:spacing w:val="-1"/>
                        </w:rPr>
                      </w:pPr>
                      <w:r w:rsidRPr="00C21B12">
                        <w:rPr>
                          <w:b/>
                          <w:bCs/>
                          <w:color w:val="000000"/>
                          <w:spacing w:val="-1"/>
                        </w:rPr>
                        <w:t xml:space="preserve">Box SPM.1: </w:t>
                      </w:r>
                      <w:r w:rsidRPr="00C21B12">
                        <w:rPr>
                          <w:bCs/>
                          <w:color w:val="000000"/>
                          <w:spacing w:val="-1"/>
                        </w:rPr>
                        <w:t xml:space="preserve">Reprezentativní </w:t>
                      </w:r>
                      <w:r w:rsidRPr="00C21B12">
                        <w:rPr>
                          <w:color w:val="000000"/>
                          <w:spacing w:val="-10"/>
                        </w:rPr>
                        <w:t>směry vývoje koncentrací</w:t>
                      </w:r>
                      <w:r w:rsidRPr="00C21B12">
                        <w:rPr>
                          <w:b/>
                          <w:bCs/>
                          <w:color w:val="000000"/>
                          <w:spacing w:val="-1"/>
                        </w:rPr>
                        <w:t xml:space="preserve"> (</w:t>
                      </w:r>
                      <w:r w:rsidRPr="00C21B12">
                        <w:rPr>
                          <w:color w:val="000000"/>
                          <w:spacing w:val="-1"/>
                        </w:rPr>
                        <w:t>Representative Concentration Pathways - RCP)</w:t>
                      </w:r>
                    </w:p>
                    <w:p w:rsidR="00C21B12" w:rsidRPr="00C21B12" w:rsidRDefault="00C21B12" w:rsidP="00C21B12">
                      <w:pPr>
                        <w:spacing w:before="254"/>
                        <w:jc w:val="both"/>
                        <w:rPr>
                          <w:color w:val="000000"/>
                          <w:spacing w:val="-1"/>
                        </w:rPr>
                      </w:pPr>
                      <w:r w:rsidRPr="00C21B12">
                        <w:rPr>
                          <w:color w:val="000000"/>
                          <w:spacing w:val="-1"/>
                        </w:rPr>
                        <w:t>Projekce změny klimatu v Pracovní skupině I (WGI) vyžadují informace o budoucích emisích či koncentracích skleníkových plynů, aerosolů a jiných faktorů ovlivňujících klima. Tyto informace bývají často vyjádřeny jako scénáře lidské činnosti, které nejsou v této zprávě hodnoceny. Scénáře IPCC WGI se zaměřují na antropogenní emise a nezahrnují změny přirozených příčin, jako je vliv sluneční aktivity či vulkanické aktivity nebo přirozené emise např. CH</w:t>
                      </w:r>
                      <w:r w:rsidRPr="00C21B12">
                        <w:rPr>
                          <w:color w:val="000000"/>
                          <w:spacing w:val="-1"/>
                          <w:vertAlign w:val="subscript"/>
                        </w:rPr>
                        <w:t>4</w:t>
                      </w:r>
                      <w:r w:rsidRPr="00C21B12">
                        <w:rPr>
                          <w:color w:val="000000"/>
                          <w:spacing w:val="-1"/>
                        </w:rPr>
                        <w:t xml:space="preserve"> či N</w:t>
                      </w:r>
                      <w:r w:rsidRPr="00C21B12">
                        <w:rPr>
                          <w:color w:val="000000"/>
                          <w:spacing w:val="-1"/>
                          <w:vertAlign w:val="subscript"/>
                        </w:rPr>
                        <w:t>2</w:t>
                      </w:r>
                      <w:r w:rsidRPr="00C21B12">
                        <w:rPr>
                          <w:color w:val="000000"/>
                          <w:spacing w:val="-1"/>
                        </w:rPr>
                        <w:t>O.</w:t>
                      </w:r>
                    </w:p>
                    <w:p w:rsidR="00C21B12" w:rsidRPr="00C21B12" w:rsidRDefault="00C21B12" w:rsidP="00C21B12">
                      <w:pPr>
                        <w:spacing w:before="254"/>
                        <w:jc w:val="both"/>
                        <w:rPr>
                          <w:color w:val="000000"/>
                        </w:rPr>
                      </w:pPr>
                      <w:r w:rsidRPr="00C21B12">
                        <w:rPr>
                          <w:color w:val="000000"/>
                          <w:spacing w:val="-1"/>
                        </w:rPr>
                        <w:t>Pro Pátou hodnotící zprávu IPCC definovala vědecká komunita sérii čtyř nových scénářů, které se nazývají Reprezentativní směry vývoje koncentrací (RCP, viz Slovníček). Jsou označeny podle přibližného celkového RF v roce 2100 v porovnání s rokem 1750: 2.6 W.m</w:t>
                      </w:r>
                      <w:r w:rsidRPr="00C21B12">
                        <w:rPr>
                          <w:color w:val="000000"/>
                          <w:spacing w:val="-1"/>
                          <w:vertAlign w:val="superscript"/>
                        </w:rPr>
                        <w:t>-2</w:t>
                      </w:r>
                      <w:r w:rsidRPr="00C21B12">
                        <w:rPr>
                          <w:color w:val="000000"/>
                          <w:spacing w:val="-1"/>
                        </w:rPr>
                        <w:t xml:space="preserve"> u scénáře RCP2.6, 4,5 W.m</w:t>
                      </w:r>
                      <w:r w:rsidRPr="00C21B12">
                        <w:rPr>
                          <w:color w:val="000000"/>
                          <w:spacing w:val="-1"/>
                          <w:vertAlign w:val="superscript"/>
                        </w:rPr>
                        <w:t>-2</w:t>
                      </w:r>
                      <w:r w:rsidRPr="00C21B12">
                        <w:rPr>
                          <w:color w:val="000000"/>
                          <w:spacing w:val="-1"/>
                        </w:rPr>
                        <w:t xml:space="preserve"> u scénáře RCP4.5, 6,0 W.m</w:t>
                      </w:r>
                      <w:r w:rsidRPr="00C21B12">
                        <w:rPr>
                          <w:color w:val="000000"/>
                          <w:spacing w:val="-1"/>
                          <w:vertAlign w:val="superscript"/>
                        </w:rPr>
                        <w:t>-2</w:t>
                      </w:r>
                      <w:r w:rsidRPr="00C21B12">
                        <w:rPr>
                          <w:color w:val="000000"/>
                          <w:spacing w:val="-1"/>
                        </w:rPr>
                        <w:t xml:space="preserve"> u scénáře RCP6.0 a 8.5 W.m</w:t>
                      </w:r>
                      <w:r w:rsidRPr="00C21B12">
                        <w:rPr>
                          <w:color w:val="000000"/>
                          <w:spacing w:val="-1"/>
                          <w:vertAlign w:val="superscript"/>
                        </w:rPr>
                        <w:t>-2</w:t>
                      </w:r>
                      <w:r w:rsidRPr="00C21B12">
                        <w:rPr>
                          <w:color w:val="000000"/>
                          <w:spacing w:val="-1"/>
                        </w:rPr>
                        <w:t xml:space="preserve"> u scénáře RCP8.5. U výsledků modelů projektu CMIP5 (</w:t>
                      </w:r>
                      <w:r w:rsidRPr="00C21B12">
                        <w:rPr>
                          <w:color w:val="000000"/>
                        </w:rPr>
                        <w:t>Coupled Model Intercomparison Project Phase 5) je třeba považovat tyto hodnoty pouze za indikativní, protože všechny faktory působící na klima se u různých modelů liší vzhledem k jejich specifickým charakteristikám a způsobu, jak pracují s krátkodobými vlivy na klima. Tyto čtyři scénáře RCP zahrnují jeden scénář zmírňujících opatření, který vede k velmi nízké úrovni vlivu (RCP2.6), dva stabilizační scénáře (RCP4.5 a RCP6) a jeden scénář s velmi vysokými emisemi skleníkových plynů (RCP8.5). Scénáře RCP tak mohou představovat celý rozsah politik v oblasti klimatu pro 21. století v porovnání s emisními scénáři ke zvláštní zprávě (SRES) neobsahujícími žádnou politiku pro oblast klimatu, které byly použity u Třetí hodnotící zprávy a Čtvrté hodnotící zprávy. U scénářů RCP6.0 a RCP8.5 nedosahuje RF svého vrcholu do roku 2100; u scénáře RCP2.6 během 21.století vrcholí a klesá a u scénáře RCP 4.5 se do roku 2100 stabilizuje. Každý scénář RCP poskytuje prostorově odlišné datové soubory změny využívání půdy a emisí znečišťujících látek do ovzduší v rozdělení podle sektorů a specifikuje roční koncentrace skleníkových plynů a antropogenní emise do roku 2100. Scénáře RCP vycházejí z kombinace integrovaných hodnotících modelů, jednoduchých klimatických modelů, modelů chemických procesů v atmosféře a modelů uhlíkového cyklu. Přestože scénáře RCP pokrývají široký rozsah celkových hodnot RF, nezahrnují veškerý rozsah emisí uváděný v odborné literatuře, zejména u aerosolů.</w:t>
                      </w:r>
                    </w:p>
                    <w:p w:rsidR="00C21B12" w:rsidRDefault="00C21B12" w:rsidP="00C21B12">
                      <w:pPr>
                        <w:jc w:val="both"/>
                        <w:rPr>
                          <w:color w:val="000000"/>
                        </w:rPr>
                      </w:pPr>
                    </w:p>
                    <w:p w:rsidR="00C21B12" w:rsidRPr="00C21B12" w:rsidRDefault="00C21B12" w:rsidP="00C21B12">
                      <w:pPr>
                        <w:jc w:val="both"/>
                      </w:pPr>
                      <w:r w:rsidRPr="00C21B12">
                        <w:rPr>
                          <w:color w:val="000000"/>
                        </w:rPr>
                        <w:t>Většina simulací CMIP5 a ESM (Earth System Model) byla provedena s předepsanými koncentracemi CO</w:t>
                      </w:r>
                      <w:r w:rsidRPr="00C21B12">
                        <w:rPr>
                          <w:color w:val="000000"/>
                          <w:vertAlign w:val="subscript"/>
                        </w:rPr>
                        <w:t>2</w:t>
                      </w:r>
                      <w:r w:rsidRPr="00C21B12">
                        <w:rPr>
                          <w:color w:val="000000"/>
                        </w:rPr>
                        <w:t xml:space="preserve"> ve výši </w:t>
                      </w:r>
                      <w:r w:rsidRPr="00C21B12">
                        <w:rPr>
                          <w:color w:val="000000"/>
                          <w:spacing w:val="-1"/>
                        </w:rPr>
                        <w:t xml:space="preserve">421 ppm (RCP2.6), 538 ppm (RCP4.5), 670 ppm (RCP6.0) a 936 </w:t>
                      </w:r>
                      <w:r w:rsidRPr="00C21B12">
                        <w:rPr>
                          <w:color w:val="000000"/>
                        </w:rPr>
                        <w:t>ppm (RCP 8.5) k roku 2100. Včetně předepsaných koncentrací CH</w:t>
                      </w:r>
                      <w:r w:rsidRPr="00C21B12">
                        <w:rPr>
                          <w:color w:val="000000"/>
                          <w:vertAlign w:val="subscript"/>
                        </w:rPr>
                        <w:t>4</w:t>
                      </w:r>
                      <w:r w:rsidRPr="00C21B12">
                        <w:rPr>
                          <w:color w:val="000000"/>
                        </w:rPr>
                        <w:t xml:space="preserve"> a N</w:t>
                      </w:r>
                      <w:r w:rsidRPr="00C21B12">
                        <w:rPr>
                          <w:color w:val="000000"/>
                          <w:vertAlign w:val="subscript"/>
                        </w:rPr>
                        <w:t>2</w:t>
                      </w:r>
                      <w:r w:rsidRPr="00C21B12">
                        <w:rPr>
                          <w:color w:val="000000"/>
                        </w:rPr>
                        <w:t>O činí kombinované ekvivalentní koncentrace CO</w:t>
                      </w:r>
                      <w:r w:rsidRPr="00C21B12">
                        <w:rPr>
                          <w:color w:val="000000"/>
                          <w:vertAlign w:val="subscript"/>
                        </w:rPr>
                        <w:t>2</w:t>
                      </w:r>
                      <w:r w:rsidRPr="00C21B12">
                        <w:rPr>
                          <w:color w:val="000000"/>
                        </w:rPr>
                        <w:t xml:space="preserve"> </w:t>
                      </w:r>
                      <w:r w:rsidRPr="00C21B12">
                        <w:rPr>
                          <w:color w:val="000000"/>
                          <w:spacing w:val="-1"/>
                        </w:rPr>
                        <w:t xml:space="preserve">475 ppm (RCP2.6), 630 ppm (RCP4.5), 800 ppm </w:t>
                      </w:r>
                      <w:r w:rsidRPr="00C21B12">
                        <w:rPr>
                          <w:color w:val="000000"/>
                        </w:rPr>
                        <w:t>(RCP6.0) a 1313 ppm (RCP8.5). U scénáře RCP8.5 jsou provedeny další simulace CMIP5 ESM se stanovenými emisemi CO</w:t>
                      </w:r>
                      <w:r w:rsidRPr="00C21B12">
                        <w:rPr>
                          <w:color w:val="000000"/>
                          <w:vertAlign w:val="subscript"/>
                        </w:rPr>
                        <w:t>2</w:t>
                      </w:r>
                      <w:r w:rsidRPr="00C21B12">
                        <w:rPr>
                          <w:color w:val="000000"/>
                        </w:rPr>
                        <w:t>, jak je uvedeno v integrovaných hodnotících modelech. Pro všechny scénáře RCP byly provedeny další výpočty s aktualizovanými údaji o chemickém složení atmosféry a o modelech (včetně chemického složení atmosféry a klimatické komponenty modelů CMIP5) s použitím emisí chemicky reaktivních plynů (CH</w:t>
                      </w:r>
                      <w:r w:rsidRPr="00C21B12">
                        <w:rPr>
                          <w:color w:val="000000"/>
                          <w:vertAlign w:val="subscript"/>
                        </w:rPr>
                        <w:t>4</w:t>
                      </w:r>
                      <w:r w:rsidRPr="00C21B12">
                        <w:rPr>
                          <w:color w:val="000000"/>
                        </w:rPr>
                        <w:t>, N</w:t>
                      </w:r>
                      <w:r w:rsidRPr="00C21B12">
                        <w:rPr>
                          <w:color w:val="000000"/>
                          <w:vertAlign w:val="subscript"/>
                        </w:rPr>
                        <w:t>2</w:t>
                      </w:r>
                      <w:r w:rsidRPr="00C21B12">
                        <w:rPr>
                          <w:color w:val="000000"/>
                        </w:rPr>
                        <w:t>O, HFC, NO</w:t>
                      </w:r>
                      <w:r w:rsidRPr="00C21B12">
                        <w:rPr>
                          <w:color w:val="000000"/>
                          <w:vertAlign w:val="subscript"/>
                        </w:rPr>
                        <w:t>x</w:t>
                      </w:r>
                      <w:r w:rsidRPr="00C21B12">
                        <w:rPr>
                          <w:color w:val="000000"/>
                        </w:rPr>
                        <w:t>, CO, nemetanové těkavé organické sloučeniny – NMVOC), stanovených podle scénářů RCP. Tyto simulace umožňují výzkum nejistot týkajících se zpětných vazeb v koloběhu uhlíku a chemického složení atmosféry.</w:t>
                      </w:r>
                    </w:p>
                  </w:txbxContent>
                </v:textbox>
              </v:shape>
            </w:pict>
          </mc:Fallback>
        </mc:AlternateContent>
      </w:r>
    </w:p>
    <w:p w:rsidR="00352481" w:rsidRPr="00352481" w:rsidRDefault="00352481" w:rsidP="00352481">
      <w:pPr>
        <w:pStyle w:val="Bezmezer"/>
        <w:shd w:val="clear" w:color="auto" w:fill="FFFFFF"/>
        <w:spacing w:before="374" w:line="250" w:lineRule="exact"/>
        <w:ind w:left="86" w:right="82"/>
        <w:jc w:val="both"/>
        <w:rPr>
          <w:color w:val="000000"/>
          <w:spacing w:val="-1"/>
        </w:rPr>
      </w:pPr>
    </w:p>
    <w:p w:rsidR="00352481" w:rsidRPr="00815A06" w:rsidRDefault="00352481" w:rsidP="00352481">
      <w:pPr>
        <w:shd w:val="clear" w:color="auto" w:fill="FFFFFF"/>
        <w:tabs>
          <w:tab w:val="left" w:pos="3737"/>
        </w:tabs>
        <w:spacing w:before="264" w:line="250" w:lineRule="exact"/>
        <w:jc w:val="center"/>
        <w:rPr>
          <w:b/>
          <w:sz w:val="28"/>
          <w:szCs w:val="28"/>
        </w:rPr>
      </w:pPr>
    </w:p>
    <w:sectPr w:rsidR="00352481" w:rsidRPr="00815A06" w:rsidSect="001641F4">
      <w:pgSz w:w="11906" w:h="16838"/>
      <w:pgMar w:top="1440" w:right="1083" w:bottom="1440" w:left="1083"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36924" w:rsidRDefault="00436924" w:rsidP="00CD0EF0">
      <w:r>
        <w:separator/>
      </w:r>
    </w:p>
  </w:endnote>
  <w:endnote w:type="continuationSeparator" w:id="0">
    <w:p w:rsidR="00436924" w:rsidRDefault="00436924" w:rsidP="00CD0EF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20002A87" w:usb1="80000000" w:usb2="00000008" w:usb3="00000000" w:csb0="000001FF" w:csb1="00000000"/>
  </w:font>
  <w:font w:name="Courier New">
    <w:panose1 w:val="02070309020205020404"/>
    <w:charset w:val="EE"/>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10002FF" w:usb1="4000ACFF" w:usb2="00000009" w:usb3="00000000" w:csb0="0000019F" w:csb1="00000000"/>
  </w:font>
  <w:font w:name="Arial">
    <w:panose1 w:val="020B0604020202020204"/>
    <w:charset w:val="EE"/>
    <w:family w:val="swiss"/>
    <w:pitch w:val="variable"/>
    <w:sig w:usb0="20002A87" w:usb1="80000000" w:usb2="00000008" w:usb3="00000000" w:csb0="000001FF" w:csb1="00000000"/>
  </w:font>
  <w:font w:name="Frutiger LT Pro 57 Condensed">
    <w:altName w:val="Frutiger LT Pro 57 Condensed"/>
    <w:panose1 w:val="00000000000000000000"/>
    <w:charset w:val="00"/>
    <w:family w:val="swiss"/>
    <w:notTrueType/>
    <w:pitch w:val="default"/>
    <w:sig w:usb0="00000003" w:usb1="00000000" w:usb2="00000000" w:usb3="00000000" w:csb0="00000001" w:csb1="00000000"/>
  </w:font>
  <w:font w:name="Tahoma">
    <w:panose1 w:val="020B0604030504040204"/>
    <w:charset w:val="EE"/>
    <w:family w:val="swiss"/>
    <w:pitch w:val="variable"/>
    <w:sig w:usb0="61002A87" w:usb1="80000000" w:usb2="00000008" w:usb3="00000000" w:csb0="000101FF" w:csb1="00000000"/>
  </w:font>
  <w:font w:name="Frutiger LT Pro 58 Condensed It">
    <w:altName w:val="Arial"/>
    <w:panose1 w:val="00000000000000000000"/>
    <w:charset w:val="00"/>
    <w:family w:val="swiss"/>
    <w:notTrueType/>
    <w:pitch w:val="default"/>
    <w:sig w:usb0="00000003" w:usb1="00000000" w:usb2="00000000" w:usb3="00000000" w:csb0="00000001" w:csb1="00000000"/>
  </w:font>
  <w:font w:name="Arial Narrow">
    <w:panose1 w:val="020B0606020202030204"/>
    <w:charset w:val="EE"/>
    <w:family w:val="swiss"/>
    <w:pitch w:val="variable"/>
    <w:sig w:usb0="00000287" w:usb1="00000800" w:usb2="00000000" w:usb3="00000000" w:csb0="0000009F" w:csb1="00000000"/>
  </w:font>
  <w:font w:name="Cambria">
    <w:panose1 w:val="02040503050406030204"/>
    <w:charset w:val="EE"/>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156847"/>
      <w:docPartObj>
        <w:docPartGallery w:val="Page Numbers (Bottom of Page)"/>
        <w:docPartUnique/>
      </w:docPartObj>
    </w:sdtPr>
    <w:sdtEndPr/>
    <w:sdtContent>
      <w:p w:rsidR="00C907E7" w:rsidRDefault="00C3040A">
        <w:pPr>
          <w:pStyle w:val="Zpat"/>
        </w:pPr>
        <w:r>
          <w:fldChar w:fldCharType="begin"/>
        </w:r>
        <w:r>
          <w:instrText xml:space="preserve"> PAGE   \* MERGEFORMAT </w:instrText>
        </w:r>
        <w:r>
          <w:fldChar w:fldCharType="separate"/>
        </w:r>
        <w:r w:rsidR="00971CEE">
          <w:rPr>
            <w:noProof/>
          </w:rPr>
          <w:t>26</w:t>
        </w:r>
        <w:r>
          <w:rPr>
            <w:noProof/>
          </w:rPr>
          <w:fldChar w:fldCharType="end"/>
        </w:r>
      </w:p>
    </w:sdtContent>
  </w:sdt>
  <w:p w:rsidR="00C907E7" w:rsidRDefault="00C907E7">
    <w:pPr>
      <w:pStyle w:val="Zpa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156848"/>
      <w:docPartObj>
        <w:docPartGallery w:val="Page Numbers (Bottom of Page)"/>
        <w:docPartUnique/>
      </w:docPartObj>
    </w:sdtPr>
    <w:sdtEndPr/>
    <w:sdtContent>
      <w:p w:rsidR="00C907E7" w:rsidRDefault="00C3040A">
        <w:pPr>
          <w:pStyle w:val="Zpat"/>
          <w:jc w:val="right"/>
        </w:pPr>
        <w:r>
          <w:fldChar w:fldCharType="begin"/>
        </w:r>
        <w:r>
          <w:instrText xml:space="preserve"> PAGE   \* MERGEFORMAT </w:instrText>
        </w:r>
        <w:r>
          <w:fldChar w:fldCharType="separate"/>
        </w:r>
        <w:r w:rsidR="00971CEE">
          <w:rPr>
            <w:noProof/>
          </w:rPr>
          <w:t>1</w:t>
        </w:r>
        <w:r>
          <w:rPr>
            <w:noProof/>
          </w:rPr>
          <w:fldChar w:fldCharType="end"/>
        </w:r>
      </w:p>
    </w:sdtContent>
  </w:sdt>
  <w:p w:rsidR="00C907E7" w:rsidRDefault="00C907E7">
    <w:pPr>
      <w:pStyle w:val="Zpa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156849"/>
      <w:docPartObj>
        <w:docPartGallery w:val="Page Numbers (Bottom of Page)"/>
        <w:docPartUnique/>
      </w:docPartObj>
    </w:sdtPr>
    <w:sdtEndPr/>
    <w:sdtContent>
      <w:p w:rsidR="00C907E7" w:rsidRDefault="00C3040A">
        <w:pPr>
          <w:pStyle w:val="Zpat"/>
          <w:jc w:val="right"/>
        </w:pPr>
        <w:r>
          <w:fldChar w:fldCharType="begin"/>
        </w:r>
        <w:r>
          <w:instrText xml:space="preserve"> PAGE   \* MERGEFORMAT </w:instrText>
        </w:r>
        <w:r>
          <w:fldChar w:fldCharType="separate"/>
        </w:r>
        <w:r w:rsidR="00971CEE">
          <w:rPr>
            <w:noProof/>
          </w:rPr>
          <w:t>27</w:t>
        </w:r>
        <w:r>
          <w:rPr>
            <w:noProof/>
          </w:rPr>
          <w:fldChar w:fldCharType="end"/>
        </w:r>
      </w:p>
    </w:sdtContent>
  </w:sdt>
  <w:p w:rsidR="00C907E7" w:rsidRPr="009A2FF0" w:rsidRDefault="00C907E7">
    <w:pPr>
      <w:pStyle w:val="Zpat"/>
      <w:rPr>
        <w:sz w:val="18"/>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36924" w:rsidRDefault="00436924" w:rsidP="00CD0EF0">
      <w:r>
        <w:separator/>
      </w:r>
    </w:p>
  </w:footnote>
  <w:footnote w:type="continuationSeparator" w:id="0">
    <w:p w:rsidR="00436924" w:rsidRDefault="00436924" w:rsidP="00CD0EF0">
      <w:r>
        <w:continuationSeparator/>
      </w:r>
    </w:p>
  </w:footnote>
  <w:footnote w:id="1">
    <w:p w:rsidR="00C907E7" w:rsidRPr="00505609" w:rsidRDefault="00C907E7" w:rsidP="00535E45">
      <w:pPr>
        <w:pStyle w:val="Textpoznpodarou"/>
        <w:ind w:left="142" w:hanging="142"/>
        <w:jc w:val="both"/>
        <w:rPr>
          <w:sz w:val="16"/>
          <w:szCs w:val="16"/>
        </w:rPr>
      </w:pPr>
      <w:r>
        <w:rPr>
          <w:rStyle w:val="Znakapoznpodarou"/>
        </w:rPr>
        <w:footnoteRef/>
      </w:r>
      <w:r>
        <w:rPr>
          <w:sz w:val="16"/>
          <w:szCs w:val="16"/>
        </w:rPr>
        <w:t xml:space="preserve"> </w:t>
      </w:r>
      <w:r w:rsidRPr="00E91C0A">
        <w:rPr>
          <w:sz w:val="16"/>
          <w:szCs w:val="16"/>
        </w:rPr>
        <w:t xml:space="preserve">V tomto Shrnutí pro politické představitele se </w:t>
      </w:r>
      <w:r>
        <w:rPr>
          <w:sz w:val="16"/>
          <w:szCs w:val="16"/>
        </w:rPr>
        <w:t>pro</w:t>
      </w:r>
      <w:r w:rsidRPr="00E91C0A">
        <w:rPr>
          <w:sz w:val="16"/>
          <w:szCs w:val="16"/>
        </w:rPr>
        <w:t xml:space="preserve"> popis dostupných důkazů používají následující souhrnné výrazy: omezený, střední nebo silný; a </w:t>
      </w:r>
      <w:r>
        <w:rPr>
          <w:sz w:val="16"/>
          <w:szCs w:val="16"/>
        </w:rPr>
        <w:t>pro</w:t>
      </w:r>
      <w:r w:rsidRPr="00E91C0A">
        <w:rPr>
          <w:sz w:val="16"/>
          <w:szCs w:val="16"/>
        </w:rPr>
        <w:t xml:space="preserve"> stupeň shody: nízká, střední nebo vysoká. Úroveň spolehlivosti se vyjadřuje pomocí pěti </w:t>
      </w:r>
      <w:r>
        <w:rPr>
          <w:sz w:val="16"/>
          <w:szCs w:val="16"/>
        </w:rPr>
        <w:t>stupňů</w:t>
      </w:r>
      <w:r w:rsidRPr="00E91C0A">
        <w:rPr>
          <w:sz w:val="16"/>
          <w:szCs w:val="16"/>
        </w:rPr>
        <w:t xml:space="preserve">: velmi </w:t>
      </w:r>
      <w:r>
        <w:rPr>
          <w:sz w:val="16"/>
          <w:szCs w:val="16"/>
        </w:rPr>
        <w:t>nízká</w:t>
      </w:r>
      <w:r w:rsidRPr="00E91C0A">
        <w:rPr>
          <w:sz w:val="16"/>
          <w:szCs w:val="16"/>
        </w:rPr>
        <w:t xml:space="preserve">, </w:t>
      </w:r>
      <w:r>
        <w:rPr>
          <w:sz w:val="16"/>
          <w:szCs w:val="16"/>
        </w:rPr>
        <w:t>nízká</w:t>
      </w:r>
      <w:r w:rsidRPr="00E91C0A">
        <w:rPr>
          <w:sz w:val="16"/>
          <w:szCs w:val="16"/>
        </w:rPr>
        <w:t xml:space="preserve">, střední, vysoká a velmi vysoká, a píše se kurzívou, např.: </w:t>
      </w:r>
      <w:r w:rsidRPr="00E91C0A">
        <w:rPr>
          <w:i/>
          <w:sz w:val="16"/>
          <w:szCs w:val="16"/>
        </w:rPr>
        <w:t>střední spolehlivost</w:t>
      </w:r>
      <w:r w:rsidRPr="00E91C0A">
        <w:rPr>
          <w:sz w:val="16"/>
          <w:szCs w:val="16"/>
        </w:rPr>
        <w:t xml:space="preserve">. Danému důkazu a vyjádření shody mohou být přiřazeny různé úrovně spolehlivosti, přičemž však zvyšující se úroveň důkazu a stupeň shody koreluje s rostoucí spolehlivostí (podrobnější informace jsou uvedeny v 1. kapitole </w:t>
      </w:r>
      <w:r>
        <w:rPr>
          <w:sz w:val="16"/>
          <w:szCs w:val="16"/>
        </w:rPr>
        <w:t xml:space="preserve">Zprávy a </w:t>
      </w:r>
      <w:r w:rsidRPr="00E91C0A">
        <w:rPr>
          <w:sz w:val="16"/>
          <w:szCs w:val="16"/>
        </w:rPr>
        <w:t>v </w:t>
      </w:r>
      <w:r>
        <w:rPr>
          <w:sz w:val="16"/>
          <w:szCs w:val="16"/>
        </w:rPr>
        <w:t>boxu</w:t>
      </w:r>
      <w:r w:rsidRPr="00E91C0A">
        <w:rPr>
          <w:sz w:val="16"/>
          <w:szCs w:val="16"/>
        </w:rPr>
        <w:t xml:space="preserve"> TS.1).</w:t>
      </w:r>
    </w:p>
  </w:footnote>
  <w:footnote w:id="2">
    <w:p w:rsidR="00C907E7" w:rsidRPr="00505609" w:rsidRDefault="00C907E7" w:rsidP="00535E45">
      <w:pPr>
        <w:pStyle w:val="Textpoznpodarou"/>
        <w:ind w:left="142" w:hanging="142"/>
        <w:jc w:val="both"/>
        <w:rPr>
          <w:sz w:val="16"/>
          <w:szCs w:val="16"/>
        </w:rPr>
      </w:pPr>
      <w:r>
        <w:rPr>
          <w:rStyle w:val="Znakapoznpodarou"/>
        </w:rPr>
        <w:footnoteRef/>
      </w:r>
      <w:r w:rsidRPr="00E91C0A">
        <w:rPr>
          <w:sz w:val="16"/>
          <w:szCs w:val="16"/>
        </w:rPr>
        <w:t xml:space="preserve"> V tomto Shrnutí pro politické představitele jsou k vyjádření odhadované pravděpodobnosti závěru či výsledku použity následující výrazy: prakticky jisté 99-100 % pravděpodobnost, velmi pravděpodobné  90-100 %, pravděpodobné 66-100 %, stejně pravděpodobné jako nepravděpodobné 33-66 %, nepravděpodobné 0-33 %, velmi nepravděpodobné 0-10 %, </w:t>
      </w:r>
      <w:r>
        <w:rPr>
          <w:sz w:val="16"/>
          <w:szCs w:val="16"/>
        </w:rPr>
        <w:t>výjimečně</w:t>
      </w:r>
      <w:r w:rsidRPr="00E91C0A">
        <w:rPr>
          <w:sz w:val="16"/>
          <w:szCs w:val="16"/>
        </w:rPr>
        <w:t xml:space="preserve"> nepravděpodobné 0-1 %. Ve vhodných případech byly použity i jiné výrazy (extrémně pravděpodobné 95-100 %, spíše pravděpodobné &gt;50-100 % a extrémně nepravděpodobné 0-5 %. Odhadovaná pravděpodobnost je psána kurzívou, např. </w:t>
      </w:r>
      <w:r w:rsidRPr="00E91C0A">
        <w:rPr>
          <w:i/>
          <w:sz w:val="16"/>
          <w:szCs w:val="16"/>
        </w:rPr>
        <w:t>velmi pravděpodobné</w:t>
      </w:r>
      <w:r w:rsidRPr="00E91C0A">
        <w:rPr>
          <w:sz w:val="16"/>
          <w:szCs w:val="16"/>
        </w:rPr>
        <w:t xml:space="preserve"> (podrobnější informace jsou uvedeny v 1. kapitole </w:t>
      </w:r>
      <w:r>
        <w:rPr>
          <w:sz w:val="16"/>
          <w:szCs w:val="16"/>
        </w:rPr>
        <w:t xml:space="preserve">a </w:t>
      </w:r>
      <w:r w:rsidRPr="00E91C0A">
        <w:rPr>
          <w:sz w:val="16"/>
          <w:szCs w:val="16"/>
        </w:rPr>
        <w:t>v </w:t>
      </w:r>
      <w:r>
        <w:rPr>
          <w:sz w:val="16"/>
          <w:szCs w:val="16"/>
        </w:rPr>
        <w:t>boxu</w:t>
      </w:r>
      <w:r w:rsidRPr="00E91C0A">
        <w:rPr>
          <w:sz w:val="16"/>
          <w:szCs w:val="16"/>
        </w:rPr>
        <w:t xml:space="preserve"> TS.1).</w:t>
      </w:r>
    </w:p>
  </w:footnote>
  <w:footnote w:id="3">
    <w:p w:rsidR="00C907E7" w:rsidRPr="003915CD" w:rsidRDefault="00C907E7" w:rsidP="003915CD">
      <w:pPr>
        <w:pStyle w:val="Textpoznpodarou"/>
        <w:ind w:left="142" w:hanging="142"/>
        <w:jc w:val="both"/>
        <w:rPr>
          <w:rFonts w:cs="Arial"/>
          <w:sz w:val="16"/>
          <w:szCs w:val="16"/>
        </w:rPr>
      </w:pPr>
      <w:r>
        <w:rPr>
          <w:rStyle w:val="Znakapoznpodarou"/>
        </w:rPr>
        <w:footnoteRef/>
      </w:r>
      <w:r>
        <w:rPr>
          <w:rFonts w:cs="Arial"/>
          <w:sz w:val="16"/>
          <w:szCs w:val="16"/>
        </w:rPr>
        <w:t xml:space="preserve"> </w:t>
      </w:r>
      <w:r w:rsidRPr="003915CD">
        <w:rPr>
          <w:rFonts w:cs="Arial"/>
          <w:sz w:val="16"/>
          <w:szCs w:val="16"/>
        </w:rPr>
        <w:t>V příspěvku Pracovní skupiny I k Páté hodnotící zprávě je neurčitost kvantifikována pomocí 90% intervalů neurčitosti, pokud není uvedeno jinak. U 90% intervalu neurčitosti, uvedeného v hranatých závorkách, lze očekávat 90% pravděpodobnost, že bude zahrnovat odhadovanou hodnotu. Intervaly neurčitostí nejsou vždy rozloženy symetricky kolem hodnoty nejlepšího odhadu. Pokud je k dispozici nejlepší odhad této hodnoty, je uveden.</w:t>
      </w:r>
    </w:p>
  </w:footnote>
  <w:footnote w:id="4">
    <w:p w:rsidR="00C907E7" w:rsidRPr="003915CD" w:rsidRDefault="00C907E7" w:rsidP="003915CD">
      <w:pPr>
        <w:pStyle w:val="Textpoznpodarou"/>
        <w:ind w:left="142" w:hanging="142"/>
        <w:jc w:val="both"/>
        <w:rPr>
          <w:rFonts w:cs="Arial"/>
          <w:sz w:val="16"/>
          <w:szCs w:val="16"/>
        </w:rPr>
      </w:pPr>
      <w:r>
        <w:rPr>
          <w:rStyle w:val="Znakapoznpodarou"/>
        </w:rPr>
        <w:footnoteRef/>
      </w:r>
      <w:r w:rsidRPr="003915CD">
        <w:rPr>
          <w:rFonts w:cs="Arial"/>
          <w:sz w:val="16"/>
          <w:szCs w:val="16"/>
        </w:rPr>
        <w:t xml:space="preserve"> Obě metody uvedené v této odrážce byly použity také ve Čtvrté hodnotící zprávě. První počítá rozdíl pomocí lineárního trendu všech bodů mezi lety 1880 a 2012. Druhá počítá rozdíl mezi průměry za dvě období 1850 až 1900 a 2003 až 2012. Výsledné hodnoty a jejich 90% intervaly neurčitosti tedy nejsou přímo srovnatelné (2.4).</w:t>
      </w:r>
    </w:p>
  </w:footnote>
  <w:footnote w:id="5">
    <w:p w:rsidR="00C907E7" w:rsidRPr="003915CD" w:rsidRDefault="00C907E7" w:rsidP="003915CD">
      <w:pPr>
        <w:pStyle w:val="Textpoznpodarou"/>
        <w:ind w:left="142" w:hanging="142"/>
        <w:jc w:val="both"/>
        <w:rPr>
          <w:rFonts w:cs="Arial"/>
          <w:sz w:val="16"/>
          <w:szCs w:val="16"/>
        </w:rPr>
      </w:pPr>
      <w:r>
        <w:rPr>
          <w:rStyle w:val="Znakapoznpodarou"/>
        </w:rPr>
        <w:footnoteRef/>
      </w:r>
      <w:r w:rsidRPr="003915CD">
        <w:rPr>
          <w:rFonts w:cs="Arial"/>
          <w:sz w:val="16"/>
          <w:szCs w:val="16"/>
        </w:rPr>
        <w:t xml:space="preserve"> Trendy za 15letá období začínající v letech 1995, 1996 a 1997 jsou 0,13 [0,02 až 0,24], 0,14 [0,03 až 0,24], 0,07 [-0,02 až 0,18] °C za dekádu.</w:t>
      </w:r>
    </w:p>
  </w:footnote>
  <w:footnote w:id="6">
    <w:p w:rsidR="00C907E7" w:rsidRPr="003915CD" w:rsidRDefault="00C907E7" w:rsidP="003915CD">
      <w:pPr>
        <w:pStyle w:val="Textpoznpodarou"/>
        <w:ind w:left="142" w:hanging="142"/>
        <w:jc w:val="both"/>
        <w:rPr>
          <w:rFonts w:cs="Arial"/>
          <w:sz w:val="16"/>
          <w:szCs w:val="16"/>
        </w:rPr>
      </w:pPr>
      <w:r>
        <w:rPr>
          <w:rStyle w:val="Znakapoznpodarou"/>
        </w:rPr>
        <w:footnoteRef/>
      </w:r>
      <w:r w:rsidRPr="003915CD">
        <w:rPr>
          <w:rFonts w:cs="Arial"/>
          <w:sz w:val="16"/>
          <w:szCs w:val="16"/>
        </w:rPr>
        <w:t xml:space="preserve"> Viz Slovníček, kde je uvedena definice těchto výrazů: chladné dny / chladné noci, teplé dny / teplé noci, horké vlny.</w:t>
      </w:r>
    </w:p>
  </w:footnote>
  <w:footnote w:id="7">
    <w:p w:rsidR="00C907E7" w:rsidRPr="00E03897" w:rsidRDefault="00C907E7" w:rsidP="00F04516">
      <w:pPr>
        <w:pStyle w:val="Textpoznpodarou"/>
        <w:jc w:val="both"/>
        <w:rPr>
          <w:rFonts w:cs="Arial"/>
          <w:sz w:val="16"/>
          <w:szCs w:val="16"/>
        </w:rPr>
      </w:pPr>
      <w:r w:rsidRPr="00E03897">
        <w:rPr>
          <w:rStyle w:val="Znakapoznpodarou"/>
          <w:rFonts w:cs="Arial"/>
          <w:sz w:val="16"/>
          <w:szCs w:val="16"/>
        </w:rPr>
        <w:footnoteRef/>
      </w:r>
      <w:r w:rsidRPr="00E03897">
        <w:rPr>
          <w:rFonts w:cs="Arial"/>
          <w:sz w:val="16"/>
          <w:szCs w:val="16"/>
        </w:rPr>
        <w:t xml:space="preserve"> Trvalý přísun tepla přes povrch oceánu rychlostí 1 W.m</w:t>
      </w:r>
      <w:r w:rsidRPr="00E03897">
        <w:rPr>
          <w:rFonts w:cs="Arial"/>
          <w:sz w:val="16"/>
          <w:szCs w:val="16"/>
          <w:vertAlign w:val="superscript"/>
        </w:rPr>
        <w:t>-2</w:t>
      </w:r>
      <w:r w:rsidRPr="00E03897">
        <w:rPr>
          <w:rFonts w:cs="Arial"/>
          <w:sz w:val="16"/>
          <w:szCs w:val="16"/>
        </w:rPr>
        <w:t xml:space="preserve"> po dobu 1 roku by zvýšil obsah tepla v oceánu o 1,1 x 10</w:t>
      </w:r>
      <w:r w:rsidRPr="00E03897">
        <w:rPr>
          <w:rFonts w:cs="Arial"/>
          <w:sz w:val="16"/>
          <w:szCs w:val="16"/>
          <w:vertAlign w:val="superscript"/>
        </w:rPr>
        <w:t>22</w:t>
      </w:r>
      <w:r w:rsidRPr="00E03897">
        <w:rPr>
          <w:rFonts w:cs="Arial"/>
          <w:sz w:val="16"/>
          <w:szCs w:val="16"/>
        </w:rPr>
        <w:t xml:space="preserve"> J.</w:t>
      </w:r>
    </w:p>
  </w:footnote>
  <w:footnote w:id="8">
    <w:p w:rsidR="00C907E7" w:rsidRPr="00E35631" w:rsidRDefault="00C907E7" w:rsidP="00B42E0F">
      <w:pPr>
        <w:pStyle w:val="Textpoznpodarou"/>
        <w:ind w:left="142" w:hanging="142"/>
        <w:jc w:val="both"/>
        <w:rPr>
          <w:rFonts w:cs="Arial"/>
          <w:sz w:val="18"/>
        </w:rPr>
      </w:pPr>
      <w:r w:rsidRPr="00103440">
        <w:rPr>
          <w:rStyle w:val="Znakapoznpodarou"/>
          <w:rFonts w:asciiTheme="minorHAnsi" w:hAnsiTheme="minorHAnsi"/>
          <w:sz w:val="18"/>
        </w:rPr>
        <w:footnoteRef/>
      </w:r>
      <w:r w:rsidRPr="00103440">
        <w:rPr>
          <w:rFonts w:asciiTheme="minorHAnsi" w:hAnsiTheme="minorHAnsi"/>
          <w:sz w:val="18"/>
        </w:rPr>
        <w:t xml:space="preserve"> </w:t>
      </w:r>
      <w:r w:rsidRPr="00E35631">
        <w:rPr>
          <w:rFonts w:cs="Arial"/>
          <w:sz w:val="18"/>
        </w:rPr>
        <w:t>Všechny odkazy na „úbytek ledu“ nebo „úbytek masy“ se týkají čistého úbytku ledu, akumulace mínus tání a telení ledovců.</w:t>
      </w:r>
    </w:p>
  </w:footnote>
  <w:footnote w:id="9">
    <w:p w:rsidR="00C907E7" w:rsidRPr="00E35631" w:rsidRDefault="00C907E7" w:rsidP="00B42E0F">
      <w:pPr>
        <w:pStyle w:val="Textpoznpodarou"/>
        <w:ind w:left="142" w:hanging="142"/>
        <w:jc w:val="both"/>
        <w:rPr>
          <w:rFonts w:cs="Arial"/>
          <w:sz w:val="18"/>
        </w:rPr>
      </w:pPr>
      <w:r w:rsidRPr="00E35631">
        <w:rPr>
          <w:rStyle w:val="Znakapoznpodarou"/>
          <w:rFonts w:cs="Arial"/>
          <w:sz w:val="18"/>
        </w:rPr>
        <w:footnoteRef/>
      </w:r>
      <w:r w:rsidRPr="00E35631">
        <w:rPr>
          <w:rFonts w:cs="Arial"/>
          <w:sz w:val="18"/>
        </w:rPr>
        <w:t xml:space="preserve"> Z metodických důvodů zahrnuje toto hodnocení úbytku ledu z antarktického a grónského ledového příkrovu i změnu ledovců na periférii. Tyto okrajové ledovce jsou tak vyčleněny z hodnot uvedených pro ledovce.</w:t>
      </w:r>
    </w:p>
  </w:footnote>
  <w:footnote w:id="10">
    <w:p w:rsidR="00C907E7" w:rsidRPr="00E35631" w:rsidRDefault="00C907E7" w:rsidP="00B42E0F">
      <w:pPr>
        <w:pStyle w:val="Textpoznpodarou"/>
        <w:ind w:left="142" w:hanging="142"/>
        <w:jc w:val="both"/>
        <w:rPr>
          <w:rFonts w:cs="Arial"/>
        </w:rPr>
      </w:pPr>
      <w:r w:rsidRPr="00E35631">
        <w:rPr>
          <w:rStyle w:val="Znakapoznpodarou"/>
          <w:rFonts w:cs="Arial"/>
          <w:sz w:val="18"/>
        </w:rPr>
        <w:footnoteRef/>
      </w:r>
      <w:r w:rsidRPr="00E35631">
        <w:rPr>
          <w:rFonts w:cs="Arial"/>
          <w:sz w:val="18"/>
        </w:rPr>
        <w:t xml:space="preserve"> Úbytek ledu ve výši 100 Gt.rok</w:t>
      </w:r>
      <w:r w:rsidRPr="00E35631">
        <w:rPr>
          <w:rFonts w:cs="Arial"/>
          <w:sz w:val="18"/>
          <w:vertAlign w:val="superscript"/>
        </w:rPr>
        <w:t>-1</w:t>
      </w:r>
      <w:r w:rsidRPr="00E35631">
        <w:rPr>
          <w:rFonts w:cs="Arial"/>
          <w:sz w:val="18"/>
        </w:rPr>
        <w:t xml:space="preserve"> je ekvivalentní zhruba 0,28 mm.rok</w:t>
      </w:r>
      <w:r w:rsidRPr="00E35631">
        <w:rPr>
          <w:rFonts w:cs="Arial"/>
          <w:sz w:val="18"/>
          <w:vertAlign w:val="superscript"/>
        </w:rPr>
        <w:t>-1</w:t>
      </w:r>
      <w:r w:rsidRPr="00E35631">
        <w:rPr>
          <w:rFonts w:cs="Arial"/>
          <w:sz w:val="18"/>
        </w:rPr>
        <w:t xml:space="preserve"> globálního středního růstu hladiny moře.</w:t>
      </w:r>
    </w:p>
  </w:footnote>
  <w:footnote w:id="11">
    <w:p w:rsidR="00C907E7" w:rsidRPr="001210FB" w:rsidRDefault="00C907E7" w:rsidP="001210FB">
      <w:pPr>
        <w:pStyle w:val="Textpoznpodarou"/>
        <w:ind w:left="142" w:hanging="142"/>
        <w:jc w:val="both"/>
        <w:rPr>
          <w:rFonts w:cs="Arial"/>
          <w:sz w:val="16"/>
          <w:szCs w:val="16"/>
        </w:rPr>
      </w:pPr>
      <w:r w:rsidRPr="001210FB">
        <w:rPr>
          <w:rStyle w:val="Znakapoznpodarou"/>
          <w:rFonts w:cs="Arial"/>
          <w:sz w:val="16"/>
          <w:szCs w:val="16"/>
        </w:rPr>
        <w:footnoteRef/>
      </w:r>
      <w:r w:rsidRPr="001210FB">
        <w:rPr>
          <w:rFonts w:cs="Arial"/>
          <w:sz w:val="16"/>
          <w:szCs w:val="16"/>
        </w:rPr>
        <w:t xml:space="preserve"> ppm (částic na jeden milion) nebo ppb (částic na jednu miliardu, 1 miliarda = 1000 milionů) je poměr počtu molekul plynu k celkovému počtu molekul suchého vzduchu. Například 300 ppm znamená 300 molekul plynu v jednom milionu molekul suchého vzduchu.</w:t>
      </w:r>
    </w:p>
  </w:footnote>
  <w:footnote w:id="12">
    <w:p w:rsidR="00C907E7" w:rsidRPr="00815A06" w:rsidRDefault="00C907E7" w:rsidP="00815A06">
      <w:pPr>
        <w:pStyle w:val="Textpoznpodarou"/>
        <w:ind w:left="142" w:hanging="142"/>
        <w:jc w:val="both"/>
        <w:rPr>
          <w:rFonts w:cs="Arial"/>
          <w:sz w:val="16"/>
          <w:szCs w:val="16"/>
        </w:rPr>
      </w:pPr>
      <w:r w:rsidRPr="00815A06">
        <w:rPr>
          <w:rStyle w:val="Znakapoznpodarou"/>
          <w:rFonts w:cs="Arial"/>
          <w:sz w:val="16"/>
          <w:szCs w:val="16"/>
        </w:rPr>
        <w:footnoteRef/>
      </w:r>
      <w:r w:rsidRPr="00815A06">
        <w:rPr>
          <w:rFonts w:cs="Arial"/>
          <w:sz w:val="16"/>
          <w:szCs w:val="16"/>
        </w:rPr>
        <w:t xml:space="preserve"> 1 gigatuna uhlíku = 1 GtC = 10</w:t>
      </w:r>
      <w:r w:rsidRPr="00815A06">
        <w:rPr>
          <w:rFonts w:cs="Arial"/>
          <w:sz w:val="16"/>
          <w:szCs w:val="16"/>
          <w:vertAlign w:val="superscript"/>
        </w:rPr>
        <w:t>15</w:t>
      </w:r>
      <w:r w:rsidRPr="00815A06">
        <w:rPr>
          <w:rFonts w:cs="Arial"/>
          <w:sz w:val="16"/>
          <w:szCs w:val="16"/>
        </w:rPr>
        <w:t xml:space="preserve"> gramů uhlíku = 1 petagram uhlíku = 1 PgC. To odpovídá 3,67 GtCO</w:t>
      </w:r>
      <w:r w:rsidRPr="00815A06">
        <w:rPr>
          <w:rFonts w:cs="Arial"/>
          <w:sz w:val="16"/>
          <w:szCs w:val="16"/>
          <w:vertAlign w:val="subscript"/>
        </w:rPr>
        <w:t>2</w:t>
      </w:r>
      <w:r w:rsidRPr="00815A06">
        <w:rPr>
          <w:rFonts w:cs="Arial"/>
          <w:sz w:val="16"/>
          <w:szCs w:val="16"/>
        </w:rPr>
        <w:t>.</w:t>
      </w:r>
    </w:p>
  </w:footnote>
  <w:footnote w:id="13">
    <w:p w:rsidR="00C907E7" w:rsidRPr="00815A06" w:rsidRDefault="00C907E7" w:rsidP="00815A06">
      <w:pPr>
        <w:pStyle w:val="Textpoznpodarou"/>
        <w:ind w:left="142" w:hanging="142"/>
        <w:jc w:val="both"/>
        <w:rPr>
          <w:rFonts w:cs="Arial"/>
          <w:sz w:val="16"/>
          <w:szCs w:val="16"/>
        </w:rPr>
      </w:pPr>
      <w:r w:rsidRPr="00815A06">
        <w:rPr>
          <w:rStyle w:val="Znakapoznpodarou"/>
          <w:rFonts w:cs="Arial"/>
          <w:sz w:val="16"/>
          <w:szCs w:val="16"/>
        </w:rPr>
        <w:footnoteRef/>
      </w:r>
      <w:r w:rsidRPr="00815A06">
        <w:rPr>
          <w:rFonts w:cs="Arial"/>
          <w:sz w:val="16"/>
          <w:szCs w:val="16"/>
        </w:rPr>
        <w:t xml:space="preserve"> pH je míra kyselosti (acidity) využívající logaritmickou stupnici: snížení hodnoty pH o 1 jednotku odpovídá 10-násobnému zvýšení koncentrace vodíkových iontů neboli kyselosti.</w:t>
      </w:r>
    </w:p>
  </w:footnote>
  <w:footnote w:id="14">
    <w:p w:rsidR="00C907E7" w:rsidRPr="009F08EE" w:rsidRDefault="00C907E7" w:rsidP="009F08EE">
      <w:pPr>
        <w:pStyle w:val="Textpoznpodarou"/>
        <w:ind w:left="142" w:hanging="142"/>
        <w:jc w:val="both"/>
        <w:rPr>
          <w:rFonts w:cs="Arial"/>
          <w:sz w:val="16"/>
          <w:szCs w:val="16"/>
        </w:rPr>
      </w:pPr>
      <w:r w:rsidRPr="009F08EE">
        <w:rPr>
          <w:rStyle w:val="Znakapoznpodarou"/>
          <w:rFonts w:cs="Arial"/>
          <w:sz w:val="16"/>
          <w:szCs w:val="16"/>
        </w:rPr>
        <w:footnoteRef/>
      </w:r>
      <w:r w:rsidRPr="009F08EE">
        <w:rPr>
          <w:rFonts w:cs="Arial"/>
          <w:sz w:val="16"/>
          <w:szCs w:val="16"/>
        </w:rPr>
        <w:t xml:space="preserve"> Intenzita hnací síly (příčiny) je vyjádřena jako </w:t>
      </w:r>
      <w:r w:rsidRPr="009F08EE">
        <w:rPr>
          <w:rFonts w:cs="Arial"/>
          <w:i/>
          <w:sz w:val="16"/>
          <w:szCs w:val="16"/>
        </w:rPr>
        <w:t>radiační působení</w:t>
      </w:r>
      <w:r w:rsidRPr="009F08EE">
        <w:rPr>
          <w:rFonts w:cs="Arial"/>
          <w:sz w:val="16"/>
          <w:szCs w:val="16"/>
        </w:rPr>
        <w:t xml:space="preserve"> (RF) v jednotkách watty na metr čtvereční </w:t>
      </w:r>
      <w:r w:rsidRPr="009F08EE">
        <w:rPr>
          <w:rFonts w:cs="Arial"/>
          <w:sz w:val="16"/>
          <w:szCs w:val="16"/>
        </w:rPr>
        <w:br/>
        <w:t>(W.m</w:t>
      </w:r>
      <w:r w:rsidRPr="009F08EE">
        <w:rPr>
          <w:rFonts w:cs="Arial"/>
          <w:sz w:val="16"/>
          <w:szCs w:val="16"/>
          <w:vertAlign w:val="superscript"/>
        </w:rPr>
        <w:t>-2</w:t>
      </w:r>
      <w:r w:rsidRPr="009F08EE">
        <w:rPr>
          <w:rFonts w:cs="Arial"/>
          <w:sz w:val="16"/>
          <w:szCs w:val="16"/>
        </w:rPr>
        <w:t xml:space="preserve">) stejně jako u předchozích hodnocení IPCC. RF je změna toku energie způsobená určitou příčinou a počítá se pro tropopauzu nebo horní vrstvu atmosféry. V tradičním konceptu RF použitém v předchozích zprávách IPCC jsou všechny povrchové a troposférické podmínky fixní. Ve výpočtech RF pro dokonale promíchané směsi skleníkových plynů a aerosolů v této zprávě mohou fyzikální proměnné, s výjimkou oceánského a mořského ledu, reagovat na perturbace rychlým přizpůsobením. Výsledné působení se v podkladové zprávě nazývá efektivní radiační působení (ERF). Tato změna odráží vědecký pokrok od předchozích hodnocení a jejím výsledkem je lepší indikace konečné teplotní reakce na tyto příčiny. U všech příčin jiných než dokonale promíchaných směsí skleníkových plynů a aerosolů jsou rychlé úpravy hůře charakterizovány, je předpokládáno, že jsou jen malé, a proto je použito tradiční vyjádření RF. {8.1} </w:t>
      </w:r>
    </w:p>
  </w:footnote>
  <w:footnote w:id="15">
    <w:p w:rsidR="00C907E7" w:rsidRPr="009F08EE" w:rsidRDefault="00C907E7" w:rsidP="009F08EE">
      <w:pPr>
        <w:pStyle w:val="Textpoznpodarou"/>
        <w:ind w:left="142" w:hanging="142"/>
        <w:rPr>
          <w:rFonts w:cs="Arial"/>
          <w:sz w:val="16"/>
          <w:szCs w:val="16"/>
        </w:rPr>
      </w:pPr>
      <w:r w:rsidRPr="009F08EE">
        <w:rPr>
          <w:rStyle w:val="Znakapoznpodarou"/>
          <w:rFonts w:cs="Arial"/>
          <w:sz w:val="16"/>
          <w:szCs w:val="16"/>
        </w:rPr>
        <w:footnoteRef/>
      </w:r>
      <w:r w:rsidRPr="009F08EE">
        <w:rPr>
          <w:rFonts w:cs="Arial"/>
          <w:sz w:val="16"/>
          <w:szCs w:val="16"/>
        </w:rPr>
        <w:t xml:space="preserve"> Tento přístup byl použit pro vyjádření RF v hodnotící zprávě AR4 SPM.</w:t>
      </w:r>
    </w:p>
  </w:footnote>
  <w:footnote w:id="16">
    <w:p w:rsidR="00C907E7" w:rsidRPr="005D06A6" w:rsidRDefault="00C907E7" w:rsidP="00987FC6">
      <w:pPr>
        <w:pStyle w:val="Textpoznpodarou"/>
        <w:ind w:left="142" w:hanging="142"/>
        <w:jc w:val="both"/>
        <w:rPr>
          <w:rFonts w:cs="Arial"/>
          <w:sz w:val="16"/>
          <w:szCs w:val="16"/>
        </w:rPr>
      </w:pPr>
      <w:r w:rsidRPr="005D06A6">
        <w:rPr>
          <w:rStyle w:val="Znakapoznpodarou"/>
          <w:rFonts w:cs="Arial"/>
          <w:sz w:val="16"/>
          <w:szCs w:val="16"/>
        </w:rPr>
        <w:footnoteRef/>
      </w:r>
      <w:r w:rsidRPr="005D06A6">
        <w:rPr>
          <w:rFonts w:cs="Arial"/>
          <w:sz w:val="16"/>
          <w:szCs w:val="16"/>
        </w:rPr>
        <w:t xml:space="preserve"> Nyní není možné podat lepší odhad rovnovážné citlivosti klimatu, protože zatím nebylo dosaženo dostatečné shody na hodnotách u různých druhů posuzovaných důkazů a studií.</w:t>
      </w:r>
    </w:p>
  </w:footnote>
  <w:footnote w:id="17">
    <w:p w:rsidR="00AA7928" w:rsidRPr="00D51FC2" w:rsidRDefault="00AA7928" w:rsidP="00D51FC2">
      <w:pPr>
        <w:pStyle w:val="Textpoznpodarou"/>
        <w:ind w:left="142" w:hanging="142"/>
        <w:jc w:val="both"/>
        <w:rPr>
          <w:rFonts w:cs="Arial"/>
          <w:sz w:val="16"/>
          <w:szCs w:val="16"/>
        </w:rPr>
      </w:pPr>
      <w:r w:rsidRPr="00D51FC2">
        <w:rPr>
          <w:rStyle w:val="Znakapoznpodarou"/>
          <w:rFonts w:cs="Arial"/>
          <w:sz w:val="16"/>
          <w:szCs w:val="16"/>
        </w:rPr>
        <w:footnoteRef/>
      </w:r>
      <w:r w:rsidRPr="00D51FC2">
        <w:rPr>
          <w:rFonts w:cs="Arial"/>
          <w:sz w:val="16"/>
          <w:szCs w:val="16"/>
        </w:rPr>
        <w:t xml:space="preserve"> PM2.5 jsou částice o průměru menším než 2,5 mikrometru, používají se jako měřítko koncentrace atmosférických aerosolů.</w:t>
      </w:r>
    </w:p>
  </w:footnote>
  <w:footnote w:id="18">
    <w:p w:rsidR="00AA7928" w:rsidRPr="00D51FC2" w:rsidRDefault="00AA7928" w:rsidP="00D51FC2">
      <w:pPr>
        <w:pStyle w:val="Textpoznpodarou"/>
        <w:ind w:left="142" w:hanging="142"/>
        <w:jc w:val="both"/>
        <w:rPr>
          <w:rFonts w:cs="Arial"/>
          <w:sz w:val="16"/>
          <w:szCs w:val="16"/>
        </w:rPr>
      </w:pPr>
      <w:r w:rsidRPr="00D51FC2">
        <w:rPr>
          <w:rStyle w:val="Znakapoznpodarou"/>
          <w:rFonts w:cs="Arial"/>
          <w:sz w:val="16"/>
          <w:szCs w:val="16"/>
        </w:rPr>
        <w:footnoteRef/>
      </w:r>
      <w:r w:rsidRPr="00D51FC2">
        <w:rPr>
          <w:rFonts w:cs="Arial"/>
          <w:sz w:val="16"/>
          <w:szCs w:val="16"/>
        </w:rPr>
        <w:t xml:space="preserve"> Rozsahy v tomto odstavci označují rozptyl modelů CMIP5.</w:t>
      </w:r>
    </w:p>
  </w:footnote>
  <w:footnote w:id="19">
    <w:p w:rsidR="00AA7928" w:rsidRPr="00D51FC2" w:rsidRDefault="00AA7928" w:rsidP="00D51FC2">
      <w:pPr>
        <w:pStyle w:val="Textpoznpodarou"/>
        <w:ind w:left="142" w:hanging="142"/>
        <w:jc w:val="both"/>
        <w:rPr>
          <w:rFonts w:cs="Arial"/>
          <w:sz w:val="16"/>
          <w:szCs w:val="16"/>
        </w:rPr>
      </w:pPr>
      <w:r w:rsidRPr="00D51FC2">
        <w:rPr>
          <w:rStyle w:val="Znakapoznpodarou"/>
          <w:rFonts w:cs="Arial"/>
          <w:sz w:val="16"/>
          <w:szCs w:val="16"/>
        </w:rPr>
        <w:footnoteRef/>
      </w:r>
      <w:r w:rsidRPr="00D51FC2">
        <w:rPr>
          <w:rFonts w:cs="Arial"/>
          <w:sz w:val="16"/>
          <w:szCs w:val="16"/>
        </w:rPr>
        <w:t xml:space="preserve"> Stav Severního ledového oceánu je označován za „téměř bez ledu“, když je rozsah mořského ledu menší než 10</w:t>
      </w:r>
      <w:r w:rsidRPr="00D51FC2">
        <w:rPr>
          <w:rFonts w:cs="Arial"/>
          <w:sz w:val="16"/>
          <w:szCs w:val="16"/>
          <w:vertAlign w:val="superscript"/>
        </w:rPr>
        <w:t>6</w:t>
      </w:r>
      <w:r w:rsidRPr="00D51FC2">
        <w:rPr>
          <w:rFonts w:cs="Arial"/>
          <w:sz w:val="16"/>
          <w:szCs w:val="16"/>
        </w:rPr>
        <w:t xml:space="preserve"> km</w:t>
      </w:r>
      <w:r w:rsidRPr="00D51FC2">
        <w:rPr>
          <w:rFonts w:cs="Arial"/>
          <w:sz w:val="16"/>
          <w:szCs w:val="16"/>
          <w:vertAlign w:val="superscript"/>
        </w:rPr>
        <w:t>2</w:t>
      </w:r>
      <w:r w:rsidRPr="00D51FC2">
        <w:rPr>
          <w:rFonts w:cs="Arial"/>
          <w:sz w:val="16"/>
          <w:szCs w:val="16"/>
        </w:rPr>
        <w:t xml:space="preserve"> po dobu alespoň pěti po sobě jdoucích let.</w:t>
      </w:r>
    </w:p>
  </w:footnote>
  <w:footnote w:id="20">
    <w:p w:rsidR="00D51FC2" w:rsidRPr="00C21B12" w:rsidRDefault="00D51FC2" w:rsidP="00D51FC2">
      <w:pPr>
        <w:pStyle w:val="Textpoznpodarou"/>
        <w:jc w:val="both"/>
        <w:rPr>
          <w:rFonts w:cs="Arial"/>
          <w:sz w:val="16"/>
          <w:szCs w:val="16"/>
        </w:rPr>
      </w:pPr>
      <w:r w:rsidRPr="00C21B12">
        <w:rPr>
          <w:rStyle w:val="Znakapoznpodarou"/>
          <w:rFonts w:cs="Arial"/>
          <w:sz w:val="16"/>
          <w:szCs w:val="16"/>
        </w:rPr>
        <w:footnoteRef/>
      </w:r>
      <w:r w:rsidRPr="00C21B12">
        <w:rPr>
          <w:rFonts w:cs="Arial"/>
          <w:sz w:val="16"/>
          <w:szCs w:val="16"/>
        </w:rPr>
        <w:t xml:space="preserve"> Z fosilních paliv, výroby cementu, průmyslu a odpadu.</w:t>
      </w:r>
    </w:p>
  </w:footnote>
  <w:footnote w:id="21">
    <w:p w:rsidR="00C21B12" w:rsidRPr="00C21B12" w:rsidRDefault="00C21B12" w:rsidP="00C21B12">
      <w:pPr>
        <w:pStyle w:val="Textpoznpodarou"/>
        <w:jc w:val="both"/>
        <w:rPr>
          <w:rFonts w:cs="Arial"/>
          <w:sz w:val="16"/>
          <w:szCs w:val="16"/>
        </w:rPr>
      </w:pPr>
      <w:r w:rsidRPr="00C21B12">
        <w:rPr>
          <w:rStyle w:val="Znakapoznpodarou"/>
          <w:rFonts w:cs="Arial"/>
          <w:sz w:val="16"/>
          <w:szCs w:val="16"/>
        </w:rPr>
        <w:footnoteRef/>
      </w:r>
      <w:r w:rsidRPr="00C21B12">
        <w:rPr>
          <w:rFonts w:cs="Arial"/>
          <w:sz w:val="16"/>
          <w:szCs w:val="16"/>
        </w:rPr>
        <w:t xml:space="preserve"> Kvantifikace tohoto rozsahu emisí CO</w:t>
      </w:r>
      <w:r w:rsidRPr="00C21B12">
        <w:rPr>
          <w:rFonts w:cs="Arial"/>
          <w:sz w:val="16"/>
          <w:szCs w:val="16"/>
          <w:vertAlign w:val="subscript"/>
        </w:rPr>
        <w:t>2</w:t>
      </w:r>
      <w:r w:rsidRPr="00C21B12">
        <w:rPr>
          <w:rFonts w:cs="Arial"/>
          <w:sz w:val="16"/>
          <w:szCs w:val="16"/>
        </w:rPr>
        <w:t xml:space="preserve"> vyžaduje vzít v úvahu také příčiny nesouvisející s CO</w:t>
      </w:r>
      <w:r w:rsidRPr="00C21B12">
        <w:rPr>
          <w:rFonts w:cs="Arial"/>
          <w:sz w:val="16"/>
          <w:szCs w:val="16"/>
          <w:vertAlign w:val="subscript"/>
        </w:rPr>
        <w:t>2</w:t>
      </w:r>
      <w:r w:rsidRPr="00C21B12">
        <w:rPr>
          <w:rFonts w:cs="Arial"/>
          <w:sz w:val="16"/>
          <w:szCs w:val="16"/>
        </w:rPr>
        <w:t>.</w:t>
      </w:r>
    </w:p>
  </w:footnote>
  <w:footnote w:id="22">
    <w:p w:rsidR="00C21B12" w:rsidRPr="00C21B12" w:rsidRDefault="00C21B12" w:rsidP="00C21B12">
      <w:pPr>
        <w:pStyle w:val="Textpoznpodarou"/>
        <w:jc w:val="both"/>
        <w:rPr>
          <w:rFonts w:cs="Arial"/>
          <w:sz w:val="16"/>
          <w:szCs w:val="16"/>
        </w:rPr>
      </w:pPr>
      <w:r w:rsidRPr="00C21B12">
        <w:rPr>
          <w:rStyle w:val="Znakapoznpodarou"/>
          <w:rFonts w:cs="Arial"/>
          <w:sz w:val="16"/>
          <w:szCs w:val="16"/>
        </w:rPr>
        <w:footnoteRef/>
      </w:r>
      <w:r w:rsidRPr="00C21B12">
        <w:rPr>
          <w:rFonts w:cs="Arial"/>
          <w:sz w:val="16"/>
          <w:szCs w:val="16"/>
        </w:rPr>
        <w:t xml:space="preserve"> První dvacetileté období dostupné z modelů.</w:t>
      </w:r>
    </w:p>
  </w:footnote>
  <w:footnote w:id="23">
    <w:p w:rsidR="00C21B12" w:rsidRPr="00C21B12" w:rsidRDefault="00C21B12" w:rsidP="00C21B12">
      <w:pPr>
        <w:pStyle w:val="Textpoznpodarou"/>
        <w:jc w:val="both"/>
        <w:rPr>
          <w:rFonts w:cs="Arial"/>
          <w:sz w:val="16"/>
          <w:szCs w:val="16"/>
        </w:rPr>
      </w:pPr>
      <w:r w:rsidRPr="00C21B12">
        <w:rPr>
          <w:rStyle w:val="Znakapoznpodarou"/>
          <w:rFonts w:cs="Arial"/>
          <w:sz w:val="16"/>
          <w:szCs w:val="16"/>
        </w:rPr>
        <w:footnoteRef/>
      </w:r>
      <w:r w:rsidRPr="00C21B12">
        <w:rPr>
          <w:rFonts w:cs="Arial"/>
          <w:sz w:val="16"/>
          <w:szCs w:val="16"/>
        </w:rPr>
        <w:t xml:space="preserve"> To vychází z posouzení přechodové reakce klimatu na kumulativní emise uhlíku (TCRE) (viz oddíl D.2).</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907E7" w:rsidRDefault="00C907E7">
    <w:pPr>
      <w:pStyle w:val="Zhlav"/>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6F5C7D16"/>
    <w:lvl w:ilvl="0">
      <w:numFmt w:val="bullet"/>
      <w:lvlText w:val="*"/>
      <w:lvlJc w:val="left"/>
    </w:lvl>
  </w:abstractNum>
  <w:abstractNum w:abstractNumId="1">
    <w:nsid w:val="14400F93"/>
    <w:multiLevelType w:val="hybridMultilevel"/>
    <w:tmpl w:val="A162ABD6"/>
    <w:lvl w:ilvl="0" w:tplc="04050001">
      <w:start w:val="1"/>
      <w:numFmt w:val="bullet"/>
      <w:lvlText w:val=""/>
      <w:lvlJc w:val="left"/>
      <w:pPr>
        <w:ind w:left="426" w:hanging="360"/>
      </w:pPr>
      <w:rPr>
        <w:rFonts w:ascii="Symbol" w:hAnsi="Symbol" w:hint="default"/>
      </w:rPr>
    </w:lvl>
    <w:lvl w:ilvl="1" w:tplc="04050003" w:tentative="1">
      <w:start w:val="1"/>
      <w:numFmt w:val="bullet"/>
      <w:lvlText w:val="o"/>
      <w:lvlJc w:val="left"/>
      <w:pPr>
        <w:ind w:left="1146" w:hanging="360"/>
      </w:pPr>
      <w:rPr>
        <w:rFonts w:ascii="Courier New" w:hAnsi="Courier New" w:cs="Courier New" w:hint="default"/>
      </w:rPr>
    </w:lvl>
    <w:lvl w:ilvl="2" w:tplc="04050005" w:tentative="1">
      <w:start w:val="1"/>
      <w:numFmt w:val="bullet"/>
      <w:lvlText w:val=""/>
      <w:lvlJc w:val="left"/>
      <w:pPr>
        <w:ind w:left="1866" w:hanging="360"/>
      </w:pPr>
      <w:rPr>
        <w:rFonts w:ascii="Wingdings" w:hAnsi="Wingdings" w:hint="default"/>
      </w:rPr>
    </w:lvl>
    <w:lvl w:ilvl="3" w:tplc="04050001" w:tentative="1">
      <w:start w:val="1"/>
      <w:numFmt w:val="bullet"/>
      <w:lvlText w:val=""/>
      <w:lvlJc w:val="left"/>
      <w:pPr>
        <w:ind w:left="2586" w:hanging="360"/>
      </w:pPr>
      <w:rPr>
        <w:rFonts w:ascii="Symbol" w:hAnsi="Symbol" w:hint="default"/>
      </w:rPr>
    </w:lvl>
    <w:lvl w:ilvl="4" w:tplc="04050003" w:tentative="1">
      <w:start w:val="1"/>
      <w:numFmt w:val="bullet"/>
      <w:lvlText w:val="o"/>
      <w:lvlJc w:val="left"/>
      <w:pPr>
        <w:ind w:left="3306" w:hanging="360"/>
      </w:pPr>
      <w:rPr>
        <w:rFonts w:ascii="Courier New" w:hAnsi="Courier New" w:cs="Courier New" w:hint="default"/>
      </w:rPr>
    </w:lvl>
    <w:lvl w:ilvl="5" w:tplc="04050005" w:tentative="1">
      <w:start w:val="1"/>
      <w:numFmt w:val="bullet"/>
      <w:lvlText w:val=""/>
      <w:lvlJc w:val="left"/>
      <w:pPr>
        <w:ind w:left="4026" w:hanging="360"/>
      </w:pPr>
      <w:rPr>
        <w:rFonts w:ascii="Wingdings" w:hAnsi="Wingdings" w:hint="default"/>
      </w:rPr>
    </w:lvl>
    <w:lvl w:ilvl="6" w:tplc="04050001" w:tentative="1">
      <w:start w:val="1"/>
      <w:numFmt w:val="bullet"/>
      <w:lvlText w:val=""/>
      <w:lvlJc w:val="left"/>
      <w:pPr>
        <w:ind w:left="4746" w:hanging="360"/>
      </w:pPr>
      <w:rPr>
        <w:rFonts w:ascii="Symbol" w:hAnsi="Symbol" w:hint="default"/>
      </w:rPr>
    </w:lvl>
    <w:lvl w:ilvl="7" w:tplc="04050003" w:tentative="1">
      <w:start w:val="1"/>
      <w:numFmt w:val="bullet"/>
      <w:lvlText w:val="o"/>
      <w:lvlJc w:val="left"/>
      <w:pPr>
        <w:ind w:left="5466" w:hanging="360"/>
      </w:pPr>
      <w:rPr>
        <w:rFonts w:ascii="Courier New" w:hAnsi="Courier New" w:cs="Courier New" w:hint="default"/>
      </w:rPr>
    </w:lvl>
    <w:lvl w:ilvl="8" w:tplc="04050005" w:tentative="1">
      <w:start w:val="1"/>
      <w:numFmt w:val="bullet"/>
      <w:lvlText w:val=""/>
      <w:lvlJc w:val="left"/>
      <w:pPr>
        <w:ind w:left="6186" w:hanging="360"/>
      </w:pPr>
      <w:rPr>
        <w:rFonts w:ascii="Wingdings" w:hAnsi="Wingdings" w:hint="default"/>
      </w:rPr>
    </w:lvl>
  </w:abstractNum>
  <w:abstractNum w:abstractNumId="2">
    <w:nsid w:val="14BA4C86"/>
    <w:multiLevelType w:val="singleLevel"/>
    <w:tmpl w:val="D890C466"/>
    <w:lvl w:ilvl="0">
      <w:start w:val="1"/>
      <w:numFmt w:val="lowerLetter"/>
      <w:lvlText w:val="(%1)"/>
      <w:legacy w:legacy="1" w:legacySpace="0" w:legacyIndent="269"/>
      <w:lvlJc w:val="left"/>
      <w:rPr>
        <w:rFonts w:asciiTheme="minorHAnsi" w:hAnsiTheme="minorHAnsi" w:cs="Arial" w:hint="default"/>
      </w:rPr>
    </w:lvl>
  </w:abstractNum>
  <w:abstractNum w:abstractNumId="3">
    <w:nsid w:val="208C5DCF"/>
    <w:multiLevelType w:val="multilevel"/>
    <w:tmpl w:val="0D46B9EA"/>
    <w:lvl w:ilvl="0">
      <w:start w:val="1"/>
      <w:numFmt w:val="lowerLetter"/>
      <w:lvlText w:val="(%1)"/>
      <w:legacy w:legacy="1" w:legacySpace="0" w:legacyIndent="269"/>
      <w:lvlJc w:val="left"/>
      <w:rPr>
        <w:rFonts w:ascii="Arial" w:hAnsi="Arial" w:cs="Aria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nsid w:val="2475660B"/>
    <w:multiLevelType w:val="hybridMultilevel"/>
    <w:tmpl w:val="207826D4"/>
    <w:lvl w:ilvl="0" w:tplc="04050001">
      <w:start w:val="1"/>
      <w:numFmt w:val="bullet"/>
      <w:lvlText w:val=""/>
      <w:lvlJc w:val="left"/>
      <w:pPr>
        <w:ind w:left="426" w:hanging="360"/>
      </w:pPr>
      <w:rPr>
        <w:rFonts w:ascii="Symbol" w:hAnsi="Symbol" w:hint="default"/>
      </w:rPr>
    </w:lvl>
    <w:lvl w:ilvl="1" w:tplc="04050003" w:tentative="1">
      <w:start w:val="1"/>
      <w:numFmt w:val="bullet"/>
      <w:lvlText w:val="o"/>
      <w:lvlJc w:val="left"/>
      <w:pPr>
        <w:ind w:left="1146" w:hanging="360"/>
      </w:pPr>
      <w:rPr>
        <w:rFonts w:ascii="Courier New" w:hAnsi="Courier New" w:cs="Courier New" w:hint="default"/>
      </w:rPr>
    </w:lvl>
    <w:lvl w:ilvl="2" w:tplc="04050005" w:tentative="1">
      <w:start w:val="1"/>
      <w:numFmt w:val="bullet"/>
      <w:lvlText w:val=""/>
      <w:lvlJc w:val="left"/>
      <w:pPr>
        <w:ind w:left="1866" w:hanging="360"/>
      </w:pPr>
      <w:rPr>
        <w:rFonts w:ascii="Wingdings" w:hAnsi="Wingdings" w:hint="default"/>
      </w:rPr>
    </w:lvl>
    <w:lvl w:ilvl="3" w:tplc="04050001" w:tentative="1">
      <w:start w:val="1"/>
      <w:numFmt w:val="bullet"/>
      <w:lvlText w:val=""/>
      <w:lvlJc w:val="left"/>
      <w:pPr>
        <w:ind w:left="2586" w:hanging="360"/>
      </w:pPr>
      <w:rPr>
        <w:rFonts w:ascii="Symbol" w:hAnsi="Symbol" w:hint="default"/>
      </w:rPr>
    </w:lvl>
    <w:lvl w:ilvl="4" w:tplc="04050003" w:tentative="1">
      <w:start w:val="1"/>
      <w:numFmt w:val="bullet"/>
      <w:lvlText w:val="o"/>
      <w:lvlJc w:val="left"/>
      <w:pPr>
        <w:ind w:left="3306" w:hanging="360"/>
      </w:pPr>
      <w:rPr>
        <w:rFonts w:ascii="Courier New" w:hAnsi="Courier New" w:cs="Courier New" w:hint="default"/>
      </w:rPr>
    </w:lvl>
    <w:lvl w:ilvl="5" w:tplc="04050005" w:tentative="1">
      <w:start w:val="1"/>
      <w:numFmt w:val="bullet"/>
      <w:lvlText w:val=""/>
      <w:lvlJc w:val="left"/>
      <w:pPr>
        <w:ind w:left="4026" w:hanging="360"/>
      </w:pPr>
      <w:rPr>
        <w:rFonts w:ascii="Wingdings" w:hAnsi="Wingdings" w:hint="default"/>
      </w:rPr>
    </w:lvl>
    <w:lvl w:ilvl="6" w:tplc="04050001" w:tentative="1">
      <w:start w:val="1"/>
      <w:numFmt w:val="bullet"/>
      <w:lvlText w:val=""/>
      <w:lvlJc w:val="left"/>
      <w:pPr>
        <w:ind w:left="4746" w:hanging="360"/>
      </w:pPr>
      <w:rPr>
        <w:rFonts w:ascii="Symbol" w:hAnsi="Symbol" w:hint="default"/>
      </w:rPr>
    </w:lvl>
    <w:lvl w:ilvl="7" w:tplc="04050003" w:tentative="1">
      <w:start w:val="1"/>
      <w:numFmt w:val="bullet"/>
      <w:lvlText w:val="o"/>
      <w:lvlJc w:val="left"/>
      <w:pPr>
        <w:ind w:left="5466" w:hanging="360"/>
      </w:pPr>
      <w:rPr>
        <w:rFonts w:ascii="Courier New" w:hAnsi="Courier New" w:cs="Courier New" w:hint="default"/>
      </w:rPr>
    </w:lvl>
    <w:lvl w:ilvl="8" w:tplc="04050005" w:tentative="1">
      <w:start w:val="1"/>
      <w:numFmt w:val="bullet"/>
      <w:lvlText w:val=""/>
      <w:lvlJc w:val="left"/>
      <w:pPr>
        <w:ind w:left="6186" w:hanging="360"/>
      </w:pPr>
      <w:rPr>
        <w:rFonts w:ascii="Wingdings" w:hAnsi="Wingdings" w:hint="default"/>
      </w:rPr>
    </w:lvl>
  </w:abstractNum>
  <w:abstractNum w:abstractNumId="5">
    <w:nsid w:val="3DFB155D"/>
    <w:multiLevelType w:val="hybridMultilevel"/>
    <w:tmpl w:val="BB880AE2"/>
    <w:lvl w:ilvl="0" w:tplc="C8867420">
      <w:start w:val="1"/>
      <w:numFmt w:val="upperLetter"/>
      <w:lvlText w:val="%1."/>
      <w:lvlJc w:val="left"/>
      <w:pPr>
        <w:ind w:left="720" w:hanging="360"/>
      </w:pPr>
      <w:rPr>
        <w:rFonts w:hint="default"/>
        <w:b/>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
    <w:nsid w:val="403439F1"/>
    <w:multiLevelType w:val="hybridMultilevel"/>
    <w:tmpl w:val="44E21820"/>
    <w:lvl w:ilvl="0" w:tplc="D7E64FDC">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41017A6D"/>
    <w:multiLevelType w:val="multilevel"/>
    <w:tmpl w:val="6756C398"/>
    <w:lvl w:ilvl="0">
      <w:start w:val="1"/>
      <w:numFmt w:val="upperLetter"/>
      <w:lvlText w:val="%1."/>
      <w:lvlJc w:val="left"/>
      <w:pPr>
        <w:ind w:left="720" w:hanging="360"/>
      </w:pPr>
      <w:rPr>
        <w:rFonts w:hint="default"/>
        <w:b/>
      </w:rPr>
    </w:lvl>
    <w:lvl w:ilvl="1">
      <w:start w:val="1"/>
      <w:numFmt w:val="decimal"/>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8">
    <w:nsid w:val="4A241D0D"/>
    <w:multiLevelType w:val="hybridMultilevel"/>
    <w:tmpl w:val="79C4FA16"/>
    <w:lvl w:ilvl="0" w:tplc="E15C1448">
      <w:start w:val="1"/>
      <w:numFmt w:val="upperLetter"/>
      <w:lvlText w:val="%1."/>
      <w:lvlJc w:val="left"/>
      <w:pPr>
        <w:ind w:left="786" w:hanging="360"/>
      </w:pPr>
      <w:rPr>
        <w:rFonts w:hint="default"/>
        <w:b/>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
    <w:nsid w:val="598477EC"/>
    <w:multiLevelType w:val="hybridMultilevel"/>
    <w:tmpl w:val="3DE4D19E"/>
    <w:lvl w:ilvl="0" w:tplc="3C82C636">
      <w:start w:val="2"/>
      <w:numFmt w:val="bullet"/>
      <w:lvlText w:val=""/>
      <w:lvlJc w:val="left"/>
      <w:pPr>
        <w:ind w:left="720" w:hanging="360"/>
      </w:pPr>
      <w:rPr>
        <w:rFonts w:ascii="Symbol" w:eastAsia="Times New Roman" w:hAnsi="Symbol" w:cs="Arial" w:hint="default"/>
        <w:u w:val="none"/>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6BC814F6"/>
    <w:multiLevelType w:val="hybridMultilevel"/>
    <w:tmpl w:val="C038D76A"/>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1">
    <w:nsid w:val="6D285E1E"/>
    <w:multiLevelType w:val="singleLevel"/>
    <w:tmpl w:val="0D46B9EA"/>
    <w:lvl w:ilvl="0">
      <w:start w:val="1"/>
      <w:numFmt w:val="lowerLetter"/>
      <w:lvlText w:val="(%1)"/>
      <w:legacy w:legacy="1" w:legacySpace="0" w:legacyIndent="269"/>
      <w:lvlJc w:val="left"/>
      <w:rPr>
        <w:rFonts w:ascii="Arial" w:hAnsi="Arial" w:cs="Arial" w:hint="default"/>
      </w:rPr>
    </w:lvl>
  </w:abstractNum>
  <w:abstractNum w:abstractNumId="12">
    <w:nsid w:val="6FAF5E97"/>
    <w:multiLevelType w:val="multilevel"/>
    <w:tmpl w:val="6756C398"/>
    <w:lvl w:ilvl="0">
      <w:start w:val="1"/>
      <w:numFmt w:val="upperLetter"/>
      <w:lvlText w:val="%1."/>
      <w:lvlJc w:val="left"/>
      <w:pPr>
        <w:ind w:left="720" w:hanging="360"/>
      </w:pPr>
      <w:rPr>
        <w:rFonts w:hint="default"/>
        <w:b/>
      </w:rPr>
    </w:lvl>
    <w:lvl w:ilvl="1">
      <w:start w:val="1"/>
      <w:numFmt w:val="decimal"/>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num w:numId="1">
    <w:abstractNumId w:val="10"/>
  </w:num>
  <w:num w:numId="2">
    <w:abstractNumId w:val="12"/>
  </w:num>
  <w:num w:numId="3">
    <w:abstractNumId w:val="7"/>
  </w:num>
  <w:num w:numId="4">
    <w:abstractNumId w:val="8"/>
  </w:num>
  <w:num w:numId="5">
    <w:abstractNumId w:val="5"/>
  </w:num>
  <w:num w:numId="6">
    <w:abstractNumId w:val="9"/>
  </w:num>
  <w:num w:numId="7">
    <w:abstractNumId w:val="4"/>
  </w:num>
  <w:num w:numId="8">
    <w:abstractNumId w:val="1"/>
  </w:num>
  <w:num w:numId="9">
    <w:abstractNumId w:val="2"/>
  </w:num>
  <w:num w:numId="10">
    <w:abstractNumId w:val="0"/>
    <w:lvlOverride w:ilvl="0">
      <w:lvl w:ilvl="0">
        <w:start w:val="65535"/>
        <w:numFmt w:val="bullet"/>
        <w:lvlText w:val="•"/>
        <w:legacy w:legacy="1" w:legacySpace="0" w:legacyIndent="355"/>
        <w:lvlJc w:val="left"/>
        <w:rPr>
          <w:rFonts w:ascii="Arial" w:hAnsi="Arial" w:cs="Arial" w:hint="default"/>
        </w:rPr>
      </w:lvl>
    </w:lvlOverride>
  </w:num>
  <w:num w:numId="11">
    <w:abstractNumId w:val="0"/>
    <w:lvlOverride w:ilvl="0">
      <w:lvl w:ilvl="0">
        <w:start w:val="65535"/>
        <w:numFmt w:val="bullet"/>
        <w:lvlText w:val="•"/>
        <w:legacy w:legacy="1" w:legacySpace="0" w:legacyIndent="355"/>
        <w:lvlJc w:val="left"/>
        <w:rPr>
          <w:rFonts w:ascii="Arial" w:hAnsi="Arial" w:cs="Arial" w:hint="default"/>
        </w:rPr>
      </w:lvl>
    </w:lvlOverride>
  </w:num>
  <w:num w:numId="12">
    <w:abstractNumId w:val="11"/>
  </w:num>
  <w:num w:numId="13">
    <w:abstractNumId w:val="3"/>
  </w:num>
  <w:num w:numId="14">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hyphenationZone w:val="425"/>
  <w:evenAndOddHeaders/>
  <w:drawingGridHorizontalSpacing w:val="100"/>
  <w:displayHorizontalDrawingGridEvery w:val="2"/>
  <w:characterSpacingControl w:val="doNotCompress"/>
  <w:hdrShapeDefaults>
    <o:shapedefaults v:ext="edit" spidmax="2150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D0EF0"/>
    <w:rsid w:val="00047E50"/>
    <w:rsid w:val="00053D71"/>
    <w:rsid w:val="00067140"/>
    <w:rsid w:val="00092A87"/>
    <w:rsid w:val="000C4BB0"/>
    <w:rsid w:val="000D3F19"/>
    <w:rsid w:val="000E2F45"/>
    <w:rsid w:val="001210FB"/>
    <w:rsid w:val="001641F4"/>
    <w:rsid w:val="001C1551"/>
    <w:rsid w:val="001D50FC"/>
    <w:rsid w:val="0022327B"/>
    <w:rsid w:val="00225DF3"/>
    <w:rsid w:val="00257328"/>
    <w:rsid w:val="002900DC"/>
    <w:rsid w:val="0029445C"/>
    <w:rsid w:val="002C67A7"/>
    <w:rsid w:val="002E4F8E"/>
    <w:rsid w:val="00332163"/>
    <w:rsid w:val="00352481"/>
    <w:rsid w:val="00357233"/>
    <w:rsid w:val="00365A5D"/>
    <w:rsid w:val="003915CD"/>
    <w:rsid w:val="00396639"/>
    <w:rsid w:val="003B302A"/>
    <w:rsid w:val="003C03A0"/>
    <w:rsid w:val="003E721F"/>
    <w:rsid w:val="00415379"/>
    <w:rsid w:val="00436924"/>
    <w:rsid w:val="00436F5A"/>
    <w:rsid w:val="00452EFF"/>
    <w:rsid w:val="0046463E"/>
    <w:rsid w:val="004D1724"/>
    <w:rsid w:val="004F6A83"/>
    <w:rsid w:val="0052258B"/>
    <w:rsid w:val="00535E45"/>
    <w:rsid w:val="005C7041"/>
    <w:rsid w:val="005D06A6"/>
    <w:rsid w:val="005F2B59"/>
    <w:rsid w:val="00621467"/>
    <w:rsid w:val="00632BCD"/>
    <w:rsid w:val="00643528"/>
    <w:rsid w:val="006512CC"/>
    <w:rsid w:val="006A068B"/>
    <w:rsid w:val="006A086B"/>
    <w:rsid w:val="006A0B6F"/>
    <w:rsid w:val="006B4472"/>
    <w:rsid w:val="006C28EE"/>
    <w:rsid w:val="00732624"/>
    <w:rsid w:val="00743C8E"/>
    <w:rsid w:val="00784095"/>
    <w:rsid w:val="00786EA5"/>
    <w:rsid w:val="00815A06"/>
    <w:rsid w:val="008421C5"/>
    <w:rsid w:val="008815D1"/>
    <w:rsid w:val="008A2C17"/>
    <w:rsid w:val="008E5269"/>
    <w:rsid w:val="00905978"/>
    <w:rsid w:val="00971CEE"/>
    <w:rsid w:val="00983DF0"/>
    <w:rsid w:val="00987FC6"/>
    <w:rsid w:val="009F08EE"/>
    <w:rsid w:val="00A07600"/>
    <w:rsid w:val="00A32775"/>
    <w:rsid w:val="00A46BBA"/>
    <w:rsid w:val="00AA2AEB"/>
    <w:rsid w:val="00AA7928"/>
    <w:rsid w:val="00AB338D"/>
    <w:rsid w:val="00AF1D71"/>
    <w:rsid w:val="00B42E0F"/>
    <w:rsid w:val="00B744FE"/>
    <w:rsid w:val="00B956FC"/>
    <w:rsid w:val="00BC0FFF"/>
    <w:rsid w:val="00BC774E"/>
    <w:rsid w:val="00BF792E"/>
    <w:rsid w:val="00C01A69"/>
    <w:rsid w:val="00C04CD9"/>
    <w:rsid w:val="00C21B12"/>
    <w:rsid w:val="00C3040A"/>
    <w:rsid w:val="00C65B3D"/>
    <w:rsid w:val="00C87418"/>
    <w:rsid w:val="00C907E7"/>
    <w:rsid w:val="00CC15CE"/>
    <w:rsid w:val="00CD0EF0"/>
    <w:rsid w:val="00D115F6"/>
    <w:rsid w:val="00D16E70"/>
    <w:rsid w:val="00D42810"/>
    <w:rsid w:val="00D51FC2"/>
    <w:rsid w:val="00D85531"/>
    <w:rsid w:val="00DA20D0"/>
    <w:rsid w:val="00E00C83"/>
    <w:rsid w:val="00E01E29"/>
    <w:rsid w:val="00E03897"/>
    <w:rsid w:val="00E06912"/>
    <w:rsid w:val="00E12742"/>
    <w:rsid w:val="00E35631"/>
    <w:rsid w:val="00E87A16"/>
    <w:rsid w:val="00E87BAC"/>
    <w:rsid w:val="00F04516"/>
    <w:rsid w:val="00F17C34"/>
    <w:rsid w:val="00F27CD5"/>
    <w:rsid w:val="00F8041D"/>
    <w:rsid w:val="00F96897"/>
    <w:rsid w:val="00FB147D"/>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150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CD0EF0"/>
    <w:pPr>
      <w:widowControl w:val="0"/>
      <w:autoSpaceDE w:val="0"/>
      <w:autoSpaceDN w:val="0"/>
      <w:adjustRightInd w:val="0"/>
      <w:spacing w:after="0" w:line="240" w:lineRule="auto"/>
    </w:pPr>
    <w:rPr>
      <w:rFonts w:ascii="Arial" w:eastAsia="Times New Roman" w:hAnsi="Arial" w:cs="Arial"/>
      <w:sz w:val="20"/>
      <w:szCs w:val="20"/>
      <w:lang w:eastAsia="cs-CZ"/>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Zhlav">
    <w:name w:val="header"/>
    <w:basedOn w:val="Normln"/>
    <w:link w:val="ZhlavChar"/>
    <w:uiPriority w:val="99"/>
    <w:rsid w:val="00CD0EF0"/>
    <w:pPr>
      <w:tabs>
        <w:tab w:val="center" w:pos="4536"/>
        <w:tab w:val="right" w:pos="9072"/>
      </w:tabs>
    </w:pPr>
    <w:rPr>
      <w:rFonts w:cs="Times New Roman"/>
    </w:rPr>
  </w:style>
  <w:style w:type="character" w:customStyle="1" w:styleId="ZhlavChar">
    <w:name w:val="Záhlaví Char"/>
    <w:basedOn w:val="Standardnpsmoodstavce"/>
    <w:link w:val="Zhlav"/>
    <w:uiPriority w:val="99"/>
    <w:rsid w:val="00CD0EF0"/>
    <w:rPr>
      <w:rFonts w:ascii="Arial" w:eastAsia="Times New Roman" w:hAnsi="Arial" w:cs="Times New Roman"/>
      <w:sz w:val="20"/>
      <w:szCs w:val="20"/>
      <w:lang w:eastAsia="cs-CZ"/>
    </w:rPr>
  </w:style>
  <w:style w:type="paragraph" w:styleId="Zpat">
    <w:name w:val="footer"/>
    <w:basedOn w:val="Normln"/>
    <w:link w:val="ZpatChar"/>
    <w:uiPriority w:val="99"/>
    <w:rsid w:val="00CD0EF0"/>
    <w:pPr>
      <w:tabs>
        <w:tab w:val="center" w:pos="4536"/>
        <w:tab w:val="right" w:pos="9072"/>
      </w:tabs>
    </w:pPr>
    <w:rPr>
      <w:rFonts w:cs="Times New Roman"/>
    </w:rPr>
  </w:style>
  <w:style w:type="character" w:customStyle="1" w:styleId="ZpatChar">
    <w:name w:val="Zápatí Char"/>
    <w:basedOn w:val="Standardnpsmoodstavce"/>
    <w:link w:val="Zpat"/>
    <w:uiPriority w:val="99"/>
    <w:rsid w:val="00CD0EF0"/>
    <w:rPr>
      <w:rFonts w:ascii="Arial" w:eastAsia="Times New Roman" w:hAnsi="Arial" w:cs="Times New Roman"/>
      <w:sz w:val="20"/>
      <w:szCs w:val="20"/>
      <w:lang w:eastAsia="cs-CZ"/>
    </w:rPr>
  </w:style>
  <w:style w:type="character" w:customStyle="1" w:styleId="A7">
    <w:name w:val="A7"/>
    <w:uiPriority w:val="99"/>
    <w:rsid w:val="00CD0EF0"/>
    <w:rPr>
      <w:rFonts w:cs="Frutiger LT Pro 57 Condensed"/>
      <w:color w:val="000000"/>
      <w:sz w:val="16"/>
      <w:szCs w:val="16"/>
    </w:rPr>
  </w:style>
  <w:style w:type="paragraph" w:styleId="Textbubliny">
    <w:name w:val="Balloon Text"/>
    <w:basedOn w:val="Normln"/>
    <w:link w:val="TextbublinyChar"/>
    <w:uiPriority w:val="99"/>
    <w:semiHidden/>
    <w:unhideWhenUsed/>
    <w:rsid w:val="00CD0EF0"/>
    <w:rPr>
      <w:rFonts w:ascii="Tahoma" w:hAnsi="Tahoma" w:cs="Tahoma"/>
      <w:sz w:val="16"/>
      <w:szCs w:val="16"/>
    </w:rPr>
  </w:style>
  <w:style w:type="character" w:customStyle="1" w:styleId="TextbublinyChar">
    <w:name w:val="Text bubliny Char"/>
    <w:basedOn w:val="Standardnpsmoodstavce"/>
    <w:link w:val="Textbubliny"/>
    <w:uiPriority w:val="99"/>
    <w:semiHidden/>
    <w:rsid w:val="00CD0EF0"/>
    <w:rPr>
      <w:rFonts w:ascii="Tahoma" w:eastAsia="Times New Roman" w:hAnsi="Tahoma" w:cs="Tahoma"/>
      <w:sz w:val="16"/>
      <w:szCs w:val="16"/>
      <w:lang w:eastAsia="cs-CZ"/>
    </w:rPr>
  </w:style>
  <w:style w:type="paragraph" w:styleId="Textpoznpodarou">
    <w:name w:val="footnote text"/>
    <w:basedOn w:val="Normln"/>
    <w:link w:val="TextpoznpodarouChar"/>
    <w:rsid w:val="001D50FC"/>
    <w:rPr>
      <w:rFonts w:cs="Times New Roman"/>
    </w:rPr>
  </w:style>
  <w:style w:type="character" w:customStyle="1" w:styleId="TextpoznpodarouChar">
    <w:name w:val="Text pozn. pod čarou Char"/>
    <w:basedOn w:val="Standardnpsmoodstavce"/>
    <w:link w:val="Textpoznpodarou"/>
    <w:rsid w:val="001D50FC"/>
    <w:rPr>
      <w:rFonts w:ascii="Arial" w:eastAsia="Times New Roman" w:hAnsi="Arial" w:cs="Times New Roman"/>
      <w:sz w:val="20"/>
      <w:szCs w:val="20"/>
      <w:lang w:eastAsia="cs-CZ"/>
    </w:rPr>
  </w:style>
  <w:style w:type="character" w:styleId="Znakapoznpodarou">
    <w:name w:val="footnote reference"/>
    <w:rsid w:val="001D50FC"/>
    <w:rPr>
      <w:vertAlign w:val="superscript"/>
    </w:rPr>
  </w:style>
  <w:style w:type="paragraph" w:styleId="Odstavecseseznamem">
    <w:name w:val="List Paragraph"/>
    <w:basedOn w:val="Normln"/>
    <w:uiPriority w:val="34"/>
    <w:qFormat/>
    <w:rsid w:val="001D50FC"/>
    <w:pPr>
      <w:ind w:left="720"/>
      <w:contextualSpacing/>
    </w:pPr>
  </w:style>
  <w:style w:type="paragraph" w:styleId="Bezmezer">
    <w:name w:val="No Spacing"/>
    <w:uiPriority w:val="1"/>
    <w:qFormat/>
    <w:rsid w:val="00BF792E"/>
    <w:pPr>
      <w:widowControl w:val="0"/>
      <w:autoSpaceDE w:val="0"/>
      <w:autoSpaceDN w:val="0"/>
      <w:adjustRightInd w:val="0"/>
      <w:spacing w:after="0" w:line="240" w:lineRule="auto"/>
    </w:pPr>
    <w:rPr>
      <w:rFonts w:ascii="Arial" w:eastAsia="Times New Roman" w:hAnsi="Arial" w:cs="Arial"/>
      <w:sz w:val="20"/>
      <w:szCs w:val="20"/>
      <w:lang w:eastAsia="cs-CZ"/>
    </w:rPr>
  </w:style>
  <w:style w:type="table" w:styleId="Mkatabulky">
    <w:name w:val="Table Grid"/>
    <w:basedOn w:val="Normlntabulka"/>
    <w:uiPriority w:val="59"/>
    <w:rsid w:val="0090597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t">
    <w:name w:val="st"/>
    <w:basedOn w:val="Standardnpsmoodstavce"/>
    <w:rsid w:val="005D06A6"/>
  </w:style>
  <w:style w:type="character" w:styleId="Siln">
    <w:name w:val="Strong"/>
    <w:basedOn w:val="Standardnpsmoodstavce"/>
    <w:uiPriority w:val="22"/>
    <w:qFormat/>
    <w:rsid w:val="00357233"/>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CD0EF0"/>
    <w:pPr>
      <w:widowControl w:val="0"/>
      <w:autoSpaceDE w:val="0"/>
      <w:autoSpaceDN w:val="0"/>
      <w:adjustRightInd w:val="0"/>
      <w:spacing w:after="0" w:line="240" w:lineRule="auto"/>
    </w:pPr>
    <w:rPr>
      <w:rFonts w:ascii="Arial" w:eastAsia="Times New Roman" w:hAnsi="Arial" w:cs="Arial"/>
      <w:sz w:val="20"/>
      <w:szCs w:val="20"/>
      <w:lang w:eastAsia="cs-CZ"/>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Zhlav">
    <w:name w:val="header"/>
    <w:basedOn w:val="Normln"/>
    <w:link w:val="ZhlavChar"/>
    <w:uiPriority w:val="99"/>
    <w:rsid w:val="00CD0EF0"/>
    <w:pPr>
      <w:tabs>
        <w:tab w:val="center" w:pos="4536"/>
        <w:tab w:val="right" w:pos="9072"/>
      </w:tabs>
    </w:pPr>
    <w:rPr>
      <w:rFonts w:cs="Times New Roman"/>
    </w:rPr>
  </w:style>
  <w:style w:type="character" w:customStyle="1" w:styleId="ZhlavChar">
    <w:name w:val="Záhlaví Char"/>
    <w:basedOn w:val="Standardnpsmoodstavce"/>
    <w:link w:val="Zhlav"/>
    <w:uiPriority w:val="99"/>
    <w:rsid w:val="00CD0EF0"/>
    <w:rPr>
      <w:rFonts w:ascii="Arial" w:eastAsia="Times New Roman" w:hAnsi="Arial" w:cs="Times New Roman"/>
      <w:sz w:val="20"/>
      <w:szCs w:val="20"/>
      <w:lang w:eastAsia="cs-CZ"/>
    </w:rPr>
  </w:style>
  <w:style w:type="paragraph" w:styleId="Zpat">
    <w:name w:val="footer"/>
    <w:basedOn w:val="Normln"/>
    <w:link w:val="ZpatChar"/>
    <w:uiPriority w:val="99"/>
    <w:rsid w:val="00CD0EF0"/>
    <w:pPr>
      <w:tabs>
        <w:tab w:val="center" w:pos="4536"/>
        <w:tab w:val="right" w:pos="9072"/>
      </w:tabs>
    </w:pPr>
    <w:rPr>
      <w:rFonts w:cs="Times New Roman"/>
    </w:rPr>
  </w:style>
  <w:style w:type="character" w:customStyle="1" w:styleId="ZpatChar">
    <w:name w:val="Zápatí Char"/>
    <w:basedOn w:val="Standardnpsmoodstavce"/>
    <w:link w:val="Zpat"/>
    <w:uiPriority w:val="99"/>
    <w:rsid w:val="00CD0EF0"/>
    <w:rPr>
      <w:rFonts w:ascii="Arial" w:eastAsia="Times New Roman" w:hAnsi="Arial" w:cs="Times New Roman"/>
      <w:sz w:val="20"/>
      <w:szCs w:val="20"/>
      <w:lang w:eastAsia="cs-CZ"/>
    </w:rPr>
  </w:style>
  <w:style w:type="character" w:customStyle="1" w:styleId="A7">
    <w:name w:val="A7"/>
    <w:uiPriority w:val="99"/>
    <w:rsid w:val="00CD0EF0"/>
    <w:rPr>
      <w:rFonts w:cs="Frutiger LT Pro 57 Condensed"/>
      <w:color w:val="000000"/>
      <w:sz w:val="16"/>
      <w:szCs w:val="16"/>
    </w:rPr>
  </w:style>
  <w:style w:type="paragraph" w:styleId="Textbubliny">
    <w:name w:val="Balloon Text"/>
    <w:basedOn w:val="Normln"/>
    <w:link w:val="TextbublinyChar"/>
    <w:uiPriority w:val="99"/>
    <w:semiHidden/>
    <w:unhideWhenUsed/>
    <w:rsid w:val="00CD0EF0"/>
    <w:rPr>
      <w:rFonts w:ascii="Tahoma" w:hAnsi="Tahoma" w:cs="Tahoma"/>
      <w:sz w:val="16"/>
      <w:szCs w:val="16"/>
    </w:rPr>
  </w:style>
  <w:style w:type="character" w:customStyle="1" w:styleId="TextbublinyChar">
    <w:name w:val="Text bubliny Char"/>
    <w:basedOn w:val="Standardnpsmoodstavce"/>
    <w:link w:val="Textbubliny"/>
    <w:uiPriority w:val="99"/>
    <w:semiHidden/>
    <w:rsid w:val="00CD0EF0"/>
    <w:rPr>
      <w:rFonts w:ascii="Tahoma" w:eastAsia="Times New Roman" w:hAnsi="Tahoma" w:cs="Tahoma"/>
      <w:sz w:val="16"/>
      <w:szCs w:val="16"/>
      <w:lang w:eastAsia="cs-CZ"/>
    </w:rPr>
  </w:style>
  <w:style w:type="paragraph" w:styleId="Textpoznpodarou">
    <w:name w:val="footnote text"/>
    <w:basedOn w:val="Normln"/>
    <w:link w:val="TextpoznpodarouChar"/>
    <w:rsid w:val="001D50FC"/>
    <w:rPr>
      <w:rFonts w:cs="Times New Roman"/>
    </w:rPr>
  </w:style>
  <w:style w:type="character" w:customStyle="1" w:styleId="TextpoznpodarouChar">
    <w:name w:val="Text pozn. pod čarou Char"/>
    <w:basedOn w:val="Standardnpsmoodstavce"/>
    <w:link w:val="Textpoznpodarou"/>
    <w:rsid w:val="001D50FC"/>
    <w:rPr>
      <w:rFonts w:ascii="Arial" w:eastAsia="Times New Roman" w:hAnsi="Arial" w:cs="Times New Roman"/>
      <w:sz w:val="20"/>
      <w:szCs w:val="20"/>
      <w:lang w:eastAsia="cs-CZ"/>
    </w:rPr>
  </w:style>
  <w:style w:type="character" w:styleId="Znakapoznpodarou">
    <w:name w:val="footnote reference"/>
    <w:rsid w:val="001D50FC"/>
    <w:rPr>
      <w:vertAlign w:val="superscript"/>
    </w:rPr>
  </w:style>
  <w:style w:type="paragraph" w:styleId="Odstavecseseznamem">
    <w:name w:val="List Paragraph"/>
    <w:basedOn w:val="Normln"/>
    <w:uiPriority w:val="34"/>
    <w:qFormat/>
    <w:rsid w:val="001D50FC"/>
    <w:pPr>
      <w:ind w:left="720"/>
      <w:contextualSpacing/>
    </w:pPr>
  </w:style>
  <w:style w:type="paragraph" w:styleId="Bezmezer">
    <w:name w:val="No Spacing"/>
    <w:uiPriority w:val="1"/>
    <w:qFormat/>
    <w:rsid w:val="00BF792E"/>
    <w:pPr>
      <w:widowControl w:val="0"/>
      <w:autoSpaceDE w:val="0"/>
      <w:autoSpaceDN w:val="0"/>
      <w:adjustRightInd w:val="0"/>
      <w:spacing w:after="0" w:line="240" w:lineRule="auto"/>
    </w:pPr>
    <w:rPr>
      <w:rFonts w:ascii="Arial" w:eastAsia="Times New Roman" w:hAnsi="Arial" w:cs="Arial"/>
      <w:sz w:val="20"/>
      <w:szCs w:val="20"/>
      <w:lang w:eastAsia="cs-CZ"/>
    </w:rPr>
  </w:style>
  <w:style w:type="table" w:styleId="Mkatabulky">
    <w:name w:val="Table Grid"/>
    <w:basedOn w:val="Normlntabulka"/>
    <w:uiPriority w:val="59"/>
    <w:rsid w:val="0090597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t">
    <w:name w:val="st"/>
    <w:basedOn w:val="Standardnpsmoodstavce"/>
    <w:rsid w:val="005D06A6"/>
  </w:style>
  <w:style w:type="character" w:styleId="Siln">
    <w:name w:val="Strong"/>
    <w:basedOn w:val="Standardnpsmoodstavce"/>
    <w:uiPriority w:val="22"/>
    <w:qFormat/>
    <w:rsid w:val="00357233"/>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3.xml"/><Relationship Id="rId18" Type="http://schemas.openxmlformats.org/officeDocument/2006/relationships/image" Target="media/image6.jpeg"/><Relationship Id="rId3" Type="http://schemas.openxmlformats.org/officeDocument/2006/relationships/styles" Target="styles.xml"/><Relationship Id="rId21" Type="http://schemas.openxmlformats.org/officeDocument/2006/relationships/image" Target="media/image9.jpeg"/><Relationship Id="rId7" Type="http://schemas.openxmlformats.org/officeDocument/2006/relationships/footnotes" Target="footnotes.xml"/><Relationship Id="rId12" Type="http://schemas.openxmlformats.org/officeDocument/2006/relationships/image" Target="media/image1.jpeg"/><Relationship Id="rId17" Type="http://schemas.openxmlformats.org/officeDocument/2006/relationships/image" Target="media/image5.jpeg"/><Relationship Id="rId2" Type="http://schemas.openxmlformats.org/officeDocument/2006/relationships/numbering" Target="numbering.xml"/><Relationship Id="rId16" Type="http://schemas.openxmlformats.org/officeDocument/2006/relationships/image" Target="media/image4.jpeg"/><Relationship Id="rId20" Type="http://schemas.openxmlformats.org/officeDocument/2006/relationships/image" Target="media/image8.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3.jpeg"/><Relationship Id="rId23"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image" Target="media/image7.jpeg"/><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image" Target="media/image2.jpeg"/><Relationship Id="rId22" Type="http://schemas.openxmlformats.org/officeDocument/2006/relationships/image" Target="media/image10.jpeg"/></Relationships>
</file>

<file path=word/theme/theme1.xml><?xml version="1.0" encoding="utf-8"?>
<a:theme xmlns:a="http://schemas.openxmlformats.org/drawingml/2006/main" name="Motiv sady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7D5A65E-8CFB-406C-9090-8BED7EC595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27</Pages>
  <Words>11345</Words>
  <Characters>66938</Characters>
  <Application>Microsoft Office Word</Application>
  <DocSecurity>0</DocSecurity>
  <Lines>557</Lines>
  <Paragraphs>156</Paragraphs>
  <ScaleCrop>false</ScaleCrop>
  <HeadingPairs>
    <vt:vector size="2" baseType="variant">
      <vt:variant>
        <vt:lpstr>Název</vt:lpstr>
      </vt:variant>
      <vt:variant>
        <vt:i4>1</vt:i4>
      </vt:variant>
    </vt:vector>
  </HeadingPairs>
  <TitlesOfParts>
    <vt:vector size="1" baseType="lpstr">
      <vt:lpstr/>
    </vt:vector>
  </TitlesOfParts>
  <Company>ČHMÚ pob. HK</Company>
  <LinksUpToDate>false</LinksUpToDate>
  <CharactersWithSpaces>78127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Ladislav Metelka</dc:creator>
  <cp:keywords/>
  <dc:description/>
  <cp:lastModifiedBy>JK</cp:lastModifiedBy>
  <cp:revision>2</cp:revision>
  <cp:lastPrinted>2013-11-21T12:34:00Z</cp:lastPrinted>
  <dcterms:created xsi:type="dcterms:W3CDTF">2013-12-16T09:00:00Z</dcterms:created>
  <dcterms:modified xsi:type="dcterms:W3CDTF">2013-12-16T09:00:00Z</dcterms:modified>
</cp:coreProperties>
</file>