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74B6" w14:textId="77777777" w:rsidR="002A1846" w:rsidRPr="00F2068A" w:rsidRDefault="002A1846" w:rsidP="002A1846">
      <w:pPr>
        <w:pStyle w:val="Zhlav"/>
        <w:spacing w:before="120" w:after="120"/>
        <w:jc w:val="center"/>
        <w:rPr>
          <w:b/>
          <w:bCs/>
          <w:smallCaps/>
          <w:spacing w:val="30"/>
          <w:sz w:val="40"/>
          <w:szCs w:val="40"/>
        </w:rPr>
      </w:pPr>
      <w:bookmarkStart w:id="0" w:name="_GoBack"/>
      <w:bookmarkEnd w:id="0"/>
      <w:r w:rsidRPr="00F2068A">
        <w:rPr>
          <w:b/>
          <w:bCs/>
          <w:smallCaps/>
          <w:spacing w:val="30"/>
          <w:sz w:val="40"/>
          <w:szCs w:val="40"/>
        </w:rPr>
        <w:t>Zadávací dokumentace</w:t>
      </w:r>
    </w:p>
    <w:p w14:paraId="5D475843" w14:textId="77777777" w:rsidR="002A1846" w:rsidRPr="00F2068A" w:rsidRDefault="002A1846" w:rsidP="002A1846">
      <w:pPr>
        <w:pStyle w:val="Zhlav"/>
        <w:spacing w:before="120" w:after="120"/>
        <w:jc w:val="center"/>
        <w:rPr>
          <w:b/>
          <w:bCs/>
          <w:smallCaps/>
          <w:spacing w:val="30"/>
          <w:sz w:val="40"/>
          <w:szCs w:val="40"/>
          <w:lang w:val="pl-PL"/>
        </w:rPr>
      </w:pPr>
      <w:r w:rsidRPr="00F2068A">
        <w:rPr>
          <w:b/>
          <w:bCs/>
          <w:smallCaps/>
          <w:spacing w:val="30"/>
          <w:sz w:val="40"/>
          <w:szCs w:val="40"/>
        </w:rPr>
        <w:t>k veřejné zakázce</w:t>
      </w:r>
      <w:bookmarkStart w:id="1" w:name="_Hlk488211810"/>
    </w:p>
    <w:p w14:paraId="1511DCA2" w14:textId="3B613333" w:rsidR="002A1846" w:rsidRPr="00F2068A" w:rsidRDefault="00C02382" w:rsidP="002A1846">
      <w:pPr>
        <w:pStyle w:val="Zhlav"/>
        <w:spacing w:before="120" w:after="120"/>
        <w:jc w:val="center"/>
        <w:rPr>
          <w:b/>
          <w:bCs/>
          <w:smallCaps/>
          <w:spacing w:val="30"/>
          <w:sz w:val="40"/>
          <w:szCs w:val="40"/>
          <w:lang w:val="pl-PL"/>
        </w:rPr>
      </w:pPr>
      <w:bookmarkStart w:id="2" w:name="_Hlk507151290"/>
      <w:r>
        <w:rPr>
          <w:b/>
          <w:bCs/>
          <w:smallCaps/>
          <w:spacing w:val="30"/>
          <w:sz w:val="40"/>
          <w:szCs w:val="40"/>
          <w:lang w:val="pl-PL"/>
        </w:rPr>
        <w:t>Výstavba kamerového systému pro monitorování vjezdu do zón s dopravním omezením v centrální části města brna</w:t>
      </w:r>
    </w:p>
    <w:bookmarkEnd w:id="1"/>
    <w:bookmarkEnd w:id="2"/>
    <w:p w14:paraId="6949E19B" w14:textId="77777777" w:rsidR="002A1846" w:rsidRPr="00F2068A" w:rsidRDefault="00F2068A" w:rsidP="002A1846">
      <w:pPr>
        <w:pStyle w:val="Zhlav"/>
        <w:spacing w:before="120" w:after="120"/>
        <w:jc w:val="center"/>
        <w:rPr>
          <w:rFonts w:cstheme="minorHAnsi"/>
          <w:b/>
          <w:bCs/>
          <w:color w:val="8496B0" w:themeColor="text2" w:themeTint="99"/>
          <w:sz w:val="16"/>
        </w:rPr>
      </w:pPr>
      <w:r w:rsidRPr="00F2068A">
        <w:rPr>
          <w:rFonts w:cstheme="minorHAnsi"/>
          <w:b/>
          <w:bCs/>
          <w:color w:val="8496B0" w:themeColor="text2" w:themeTint="99"/>
          <w:sz w:val="16"/>
        </w:rPr>
        <w:t>_________________________________________________________________________________________________________________</w:t>
      </w:r>
    </w:p>
    <w:p w14:paraId="5260DE56" w14:textId="77777777" w:rsidR="002A1846" w:rsidRPr="00F2068A" w:rsidRDefault="00A8530B"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Pr>
          <w:rFonts w:asciiTheme="minorHAnsi" w:hAnsiTheme="minorHAnsi"/>
          <w:b/>
          <w:smallCaps/>
          <w:spacing w:val="20"/>
          <w:sz w:val="22"/>
          <w:szCs w:val="22"/>
        </w:rPr>
        <w:t xml:space="preserve">veřejný </w:t>
      </w:r>
      <w:r w:rsidR="002A1846" w:rsidRPr="00F2068A">
        <w:rPr>
          <w:rFonts w:asciiTheme="minorHAnsi" w:hAnsiTheme="minorHAnsi"/>
          <w:b/>
          <w:smallCaps/>
          <w:spacing w:val="20"/>
          <w:sz w:val="22"/>
          <w:szCs w:val="22"/>
        </w:rPr>
        <w:t xml:space="preserve">zadavatel </w:t>
      </w:r>
    </w:p>
    <w:tbl>
      <w:tblPr>
        <w:tblW w:w="0" w:type="auto"/>
        <w:tblLook w:val="01E0" w:firstRow="1" w:lastRow="1" w:firstColumn="1" w:lastColumn="1" w:noHBand="0" w:noVBand="0"/>
      </w:tblPr>
      <w:tblGrid>
        <w:gridCol w:w="2564"/>
        <w:gridCol w:w="6508"/>
      </w:tblGrid>
      <w:tr w:rsidR="00C02382" w:rsidRPr="00604F56" w14:paraId="7B506AE7" w14:textId="77777777" w:rsidTr="000D39B6">
        <w:trPr>
          <w:trHeight w:val="658"/>
        </w:trPr>
        <w:tc>
          <w:tcPr>
            <w:tcW w:w="2628" w:type="dxa"/>
            <w:vAlign w:val="center"/>
          </w:tcPr>
          <w:p w14:paraId="2EDFF779" w14:textId="77777777" w:rsidR="00C02382" w:rsidRPr="001D0574" w:rsidRDefault="00C02382" w:rsidP="000D39B6">
            <w:pPr>
              <w:spacing w:before="120" w:after="120"/>
              <w:rPr>
                <w:rFonts w:asciiTheme="minorHAnsi" w:hAnsiTheme="minorHAnsi" w:cstheme="minorHAnsi"/>
                <w:sz w:val="22"/>
                <w:szCs w:val="22"/>
              </w:rPr>
            </w:pPr>
            <w:r w:rsidRPr="001D0574">
              <w:rPr>
                <w:rFonts w:asciiTheme="minorHAnsi" w:hAnsiTheme="minorHAnsi" w:cstheme="minorHAnsi"/>
                <w:sz w:val="22"/>
                <w:szCs w:val="22"/>
              </w:rPr>
              <w:t>Název</w:t>
            </w:r>
          </w:p>
        </w:tc>
        <w:tc>
          <w:tcPr>
            <w:tcW w:w="6741" w:type="dxa"/>
            <w:vAlign w:val="center"/>
          </w:tcPr>
          <w:p w14:paraId="61259EF8" w14:textId="77777777" w:rsidR="00C02382" w:rsidRPr="00604F56" w:rsidRDefault="00C02382" w:rsidP="000D39B6">
            <w:pPr>
              <w:spacing w:before="120" w:after="120"/>
              <w:rPr>
                <w:rFonts w:asciiTheme="minorHAnsi" w:hAnsiTheme="minorHAnsi" w:cstheme="minorHAnsi"/>
                <w:sz w:val="22"/>
                <w:szCs w:val="22"/>
              </w:rPr>
            </w:pPr>
            <w:r w:rsidRPr="00604F56">
              <w:rPr>
                <w:rFonts w:asciiTheme="minorHAnsi" w:hAnsiTheme="minorHAnsi" w:cstheme="minorHAnsi"/>
                <w:sz w:val="22"/>
                <w:szCs w:val="22"/>
              </w:rPr>
              <w:t>Statutární město Brno</w:t>
            </w:r>
          </w:p>
        </w:tc>
      </w:tr>
      <w:tr w:rsidR="00C02382" w:rsidRPr="00604F56" w14:paraId="4061F7C6" w14:textId="77777777" w:rsidTr="000D39B6">
        <w:trPr>
          <w:trHeight w:val="342"/>
        </w:trPr>
        <w:tc>
          <w:tcPr>
            <w:tcW w:w="2628" w:type="dxa"/>
            <w:vAlign w:val="center"/>
          </w:tcPr>
          <w:p w14:paraId="572225D0" w14:textId="77777777" w:rsidR="00C02382" w:rsidRPr="001D0574" w:rsidRDefault="00C02382" w:rsidP="000D39B6">
            <w:pPr>
              <w:spacing w:before="120" w:after="120"/>
              <w:rPr>
                <w:rFonts w:asciiTheme="minorHAnsi" w:hAnsiTheme="minorHAnsi" w:cstheme="minorHAnsi"/>
                <w:sz w:val="22"/>
                <w:szCs w:val="22"/>
              </w:rPr>
            </w:pPr>
            <w:r w:rsidRPr="001D0574">
              <w:rPr>
                <w:rFonts w:asciiTheme="minorHAnsi" w:hAnsiTheme="minorHAnsi" w:cstheme="minorHAnsi"/>
                <w:sz w:val="22"/>
                <w:szCs w:val="22"/>
              </w:rPr>
              <w:t xml:space="preserve">Sídlo </w:t>
            </w:r>
          </w:p>
        </w:tc>
        <w:tc>
          <w:tcPr>
            <w:tcW w:w="6741" w:type="dxa"/>
            <w:vAlign w:val="center"/>
          </w:tcPr>
          <w:p w14:paraId="54118D2E" w14:textId="77777777" w:rsidR="00C02382" w:rsidRPr="00604F56" w:rsidRDefault="00C02382" w:rsidP="000D39B6">
            <w:pPr>
              <w:spacing w:before="120" w:after="120"/>
              <w:rPr>
                <w:rFonts w:asciiTheme="minorHAnsi" w:hAnsiTheme="minorHAnsi" w:cstheme="minorHAnsi"/>
                <w:sz w:val="22"/>
                <w:szCs w:val="22"/>
              </w:rPr>
            </w:pPr>
            <w:r w:rsidRPr="00604F56">
              <w:rPr>
                <w:rFonts w:asciiTheme="minorHAnsi" w:hAnsiTheme="minorHAnsi" w:cstheme="minorHAnsi"/>
                <w:sz w:val="22"/>
                <w:szCs w:val="22"/>
              </w:rPr>
              <w:t>Dominikánské náměstí 196/1, 602 00 Brno</w:t>
            </w:r>
          </w:p>
        </w:tc>
      </w:tr>
      <w:tr w:rsidR="00C02382" w:rsidRPr="001D0574" w14:paraId="509929F6" w14:textId="77777777" w:rsidTr="000D39B6">
        <w:tc>
          <w:tcPr>
            <w:tcW w:w="2628" w:type="dxa"/>
            <w:vAlign w:val="center"/>
          </w:tcPr>
          <w:p w14:paraId="096B4D83" w14:textId="77777777" w:rsidR="00C02382" w:rsidRPr="001D0574" w:rsidRDefault="00C02382" w:rsidP="000D39B6">
            <w:pPr>
              <w:spacing w:before="120" w:after="120"/>
              <w:rPr>
                <w:rFonts w:asciiTheme="minorHAnsi" w:hAnsiTheme="minorHAnsi" w:cstheme="minorHAnsi"/>
                <w:sz w:val="22"/>
                <w:szCs w:val="22"/>
              </w:rPr>
            </w:pPr>
            <w:r w:rsidRPr="001D0574">
              <w:rPr>
                <w:rFonts w:asciiTheme="minorHAnsi" w:hAnsiTheme="minorHAnsi" w:cstheme="minorHAnsi"/>
                <w:sz w:val="22"/>
                <w:szCs w:val="22"/>
              </w:rPr>
              <w:t>IČO</w:t>
            </w:r>
          </w:p>
        </w:tc>
        <w:tc>
          <w:tcPr>
            <w:tcW w:w="6741" w:type="dxa"/>
            <w:vAlign w:val="center"/>
          </w:tcPr>
          <w:p w14:paraId="74894140" w14:textId="77777777" w:rsidR="00C02382" w:rsidRPr="001D0574" w:rsidRDefault="00C02382" w:rsidP="000D39B6">
            <w:pPr>
              <w:spacing w:before="120" w:after="120"/>
              <w:rPr>
                <w:rFonts w:asciiTheme="minorHAnsi" w:hAnsiTheme="minorHAnsi" w:cstheme="minorHAnsi"/>
                <w:sz w:val="22"/>
                <w:szCs w:val="22"/>
              </w:rPr>
            </w:pPr>
            <w:r w:rsidRPr="00604F56">
              <w:rPr>
                <w:rFonts w:asciiTheme="minorHAnsi" w:hAnsiTheme="minorHAnsi" w:cstheme="minorHAnsi"/>
                <w:sz w:val="22"/>
                <w:szCs w:val="22"/>
              </w:rPr>
              <w:t>44992785</w:t>
            </w:r>
          </w:p>
        </w:tc>
      </w:tr>
      <w:tr w:rsidR="00C02382" w:rsidRPr="00B73084" w14:paraId="664C6F5E" w14:textId="77777777" w:rsidTr="000D39B6">
        <w:tc>
          <w:tcPr>
            <w:tcW w:w="2628" w:type="dxa"/>
            <w:vAlign w:val="center"/>
          </w:tcPr>
          <w:p w14:paraId="1EEBA9FF" w14:textId="77777777" w:rsidR="00C02382" w:rsidRPr="001D0574" w:rsidRDefault="00C02382" w:rsidP="000D39B6">
            <w:pPr>
              <w:spacing w:before="120" w:after="120"/>
              <w:rPr>
                <w:rFonts w:asciiTheme="minorHAnsi" w:hAnsiTheme="minorHAnsi" w:cstheme="minorHAnsi"/>
                <w:sz w:val="22"/>
                <w:szCs w:val="22"/>
              </w:rPr>
            </w:pPr>
            <w:r>
              <w:rPr>
                <w:rFonts w:asciiTheme="minorHAnsi" w:hAnsiTheme="minorHAnsi" w:cstheme="minorHAnsi"/>
                <w:sz w:val="22"/>
                <w:szCs w:val="22"/>
              </w:rPr>
              <w:t>Osoba zastupující zadavatele</w:t>
            </w:r>
          </w:p>
        </w:tc>
        <w:tc>
          <w:tcPr>
            <w:tcW w:w="6741" w:type="dxa"/>
            <w:vAlign w:val="center"/>
          </w:tcPr>
          <w:p w14:paraId="51E55721" w14:textId="77777777" w:rsidR="00C02382" w:rsidRPr="00B73084" w:rsidRDefault="00C02382" w:rsidP="000D39B6">
            <w:pPr>
              <w:spacing w:before="120" w:after="120"/>
              <w:rPr>
                <w:sz w:val="23"/>
                <w:szCs w:val="23"/>
              </w:rPr>
            </w:pPr>
            <w:r w:rsidRPr="00604F56">
              <w:rPr>
                <w:rFonts w:asciiTheme="minorHAnsi" w:hAnsiTheme="minorHAnsi" w:cstheme="minorHAnsi"/>
                <w:sz w:val="22"/>
                <w:szCs w:val="22"/>
              </w:rPr>
              <w:t>Ing. Petr Vokřál, primátor města Brna</w:t>
            </w:r>
          </w:p>
        </w:tc>
      </w:tr>
      <w:tr w:rsidR="00C02382" w:rsidRPr="001D0574" w14:paraId="1CEB0A08" w14:textId="77777777" w:rsidTr="000D39B6">
        <w:tc>
          <w:tcPr>
            <w:tcW w:w="9369" w:type="dxa"/>
            <w:gridSpan w:val="2"/>
            <w:vAlign w:val="center"/>
          </w:tcPr>
          <w:p w14:paraId="1D5955F2" w14:textId="77777777" w:rsidR="00C02382" w:rsidRPr="00604F56" w:rsidRDefault="00C02382" w:rsidP="000D39B6">
            <w:pPr>
              <w:spacing w:before="120" w:after="120"/>
              <w:rPr>
                <w:rFonts w:asciiTheme="minorHAnsi" w:hAnsiTheme="minorHAnsi" w:cstheme="minorHAnsi"/>
                <w:sz w:val="22"/>
                <w:szCs w:val="22"/>
                <w:u w:val="single"/>
              </w:rPr>
            </w:pPr>
            <w:r w:rsidRPr="00604F56">
              <w:rPr>
                <w:rFonts w:asciiTheme="minorHAnsi" w:hAnsiTheme="minorHAnsi" w:cstheme="minorHAnsi"/>
                <w:sz w:val="22"/>
                <w:szCs w:val="22"/>
                <w:u w:val="single"/>
              </w:rPr>
              <w:t>Osoba zastupující zadavatele dle §43 zákona č. 134/2016 Sb. o zadávání veřejných zakázek, ve znění pozdějších předpisů (dále jen „zákon“)</w:t>
            </w:r>
          </w:p>
          <w:p w14:paraId="0742F4DE" w14:textId="77777777" w:rsidR="00C02382" w:rsidRPr="00604F56" w:rsidRDefault="00C02382" w:rsidP="000D39B6">
            <w:pPr>
              <w:spacing w:before="120" w:after="120"/>
              <w:rPr>
                <w:rFonts w:asciiTheme="minorHAnsi" w:hAnsiTheme="minorHAnsi" w:cstheme="minorHAnsi"/>
                <w:b/>
                <w:sz w:val="22"/>
                <w:szCs w:val="22"/>
              </w:rPr>
            </w:pPr>
            <w:r w:rsidRPr="00604F56">
              <w:rPr>
                <w:rFonts w:asciiTheme="minorHAnsi" w:hAnsiTheme="minorHAnsi" w:cstheme="minorHAnsi"/>
                <w:b/>
                <w:sz w:val="22"/>
                <w:szCs w:val="22"/>
              </w:rPr>
              <w:t>Brněnské komunikace a.s.</w:t>
            </w:r>
          </w:p>
          <w:p w14:paraId="2EB894DC" w14:textId="77777777" w:rsidR="00C02382" w:rsidRPr="00604F56" w:rsidRDefault="00C02382" w:rsidP="000D39B6">
            <w:pPr>
              <w:spacing w:before="120" w:after="120"/>
              <w:rPr>
                <w:rFonts w:asciiTheme="minorHAnsi" w:hAnsiTheme="minorHAnsi" w:cstheme="minorHAnsi"/>
                <w:sz w:val="22"/>
                <w:szCs w:val="22"/>
              </w:rPr>
            </w:pPr>
            <w:r w:rsidRPr="00604F56">
              <w:rPr>
                <w:rFonts w:asciiTheme="minorHAnsi" w:hAnsiTheme="minorHAnsi" w:cstheme="minorHAnsi"/>
                <w:sz w:val="22"/>
                <w:szCs w:val="22"/>
              </w:rPr>
              <w:t>Renneská tř. 787/1a, 639 00 Brno</w:t>
            </w:r>
          </w:p>
          <w:p w14:paraId="7A3375D7" w14:textId="77777777" w:rsidR="00C02382" w:rsidRPr="00604F56" w:rsidRDefault="00C02382" w:rsidP="000D39B6">
            <w:pPr>
              <w:spacing w:before="120" w:after="120"/>
              <w:rPr>
                <w:rFonts w:asciiTheme="minorHAnsi" w:hAnsiTheme="minorHAnsi" w:cstheme="minorHAnsi"/>
                <w:sz w:val="22"/>
                <w:szCs w:val="22"/>
              </w:rPr>
            </w:pPr>
            <w:r w:rsidRPr="00604F56">
              <w:rPr>
                <w:rFonts w:asciiTheme="minorHAnsi" w:hAnsiTheme="minorHAnsi" w:cstheme="minorHAnsi"/>
                <w:sz w:val="22"/>
                <w:szCs w:val="22"/>
              </w:rPr>
              <w:t>IČO: 607 33 098</w:t>
            </w:r>
          </w:p>
          <w:p w14:paraId="233CA29B" w14:textId="77777777" w:rsidR="00C02382" w:rsidRPr="00604F56" w:rsidRDefault="00C02382" w:rsidP="000D39B6">
            <w:pPr>
              <w:spacing w:before="120" w:after="120"/>
              <w:rPr>
                <w:rFonts w:asciiTheme="minorHAnsi" w:hAnsiTheme="minorHAnsi" w:cstheme="minorHAnsi"/>
                <w:sz w:val="22"/>
                <w:szCs w:val="22"/>
              </w:rPr>
            </w:pPr>
            <w:r w:rsidRPr="00604F56">
              <w:rPr>
                <w:rFonts w:asciiTheme="minorHAnsi" w:hAnsiTheme="minorHAnsi" w:cstheme="minorHAnsi"/>
                <w:sz w:val="22"/>
                <w:szCs w:val="22"/>
              </w:rPr>
              <w:t>Zastoupena: Ing. Luděk Borový, generální ředitel, na základě plné moci</w:t>
            </w:r>
          </w:p>
          <w:p w14:paraId="6836E48E" w14:textId="1ED564AC" w:rsidR="00C02382" w:rsidRPr="001D0574" w:rsidRDefault="00C02382" w:rsidP="000D39B6">
            <w:pPr>
              <w:rPr>
                <w:rFonts w:asciiTheme="minorHAnsi" w:hAnsiTheme="minorHAnsi" w:cstheme="minorHAnsi"/>
                <w:sz w:val="22"/>
                <w:szCs w:val="22"/>
              </w:rPr>
            </w:pPr>
            <w:r w:rsidRPr="00604F56">
              <w:rPr>
                <w:rFonts w:asciiTheme="minorHAnsi" w:hAnsiTheme="minorHAnsi" w:cstheme="minorHAnsi"/>
                <w:sz w:val="22"/>
                <w:szCs w:val="22"/>
              </w:rPr>
              <w:t xml:space="preserve">Kontaktní osoba: </w:t>
            </w:r>
            <w:r>
              <w:rPr>
                <w:rFonts w:asciiTheme="minorHAnsi" w:hAnsiTheme="minorHAnsi" w:cstheme="minorHAnsi"/>
                <w:sz w:val="22"/>
                <w:szCs w:val="22"/>
              </w:rPr>
              <w:t>Mgr. Jitka Smutná</w:t>
            </w:r>
            <w:r w:rsidRPr="00604F56">
              <w:rPr>
                <w:rFonts w:asciiTheme="minorHAnsi" w:hAnsiTheme="minorHAnsi" w:cstheme="minorHAnsi"/>
                <w:sz w:val="22"/>
                <w:szCs w:val="22"/>
              </w:rPr>
              <w:t xml:space="preserve">, T: </w:t>
            </w:r>
            <w:r w:rsidRPr="00604F56">
              <w:rPr>
                <w:rFonts w:asciiTheme="minorHAnsi" w:hAnsiTheme="minorHAnsi" w:cstheme="minorHAnsi"/>
                <w:noProof/>
                <w:color w:val="000000"/>
                <w:sz w:val="22"/>
                <w:szCs w:val="22"/>
              </w:rPr>
              <w:t>+420 532 144 3</w:t>
            </w:r>
            <w:r>
              <w:rPr>
                <w:rFonts w:asciiTheme="minorHAnsi" w:hAnsiTheme="minorHAnsi" w:cstheme="minorHAnsi"/>
                <w:noProof/>
                <w:color w:val="000000"/>
                <w:sz w:val="22"/>
                <w:szCs w:val="22"/>
              </w:rPr>
              <w:t>85</w:t>
            </w:r>
            <w:r w:rsidRPr="00604F56">
              <w:rPr>
                <w:rFonts w:asciiTheme="minorHAnsi" w:hAnsiTheme="minorHAnsi" w:cstheme="minorHAnsi"/>
                <w:sz w:val="22"/>
                <w:szCs w:val="22"/>
              </w:rPr>
              <w:t xml:space="preserve"> M: </w:t>
            </w:r>
            <w:r>
              <w:rPr>
                <w:rFonts w:asciiTheme="minorHAnsi" w:hAnsiTheme="minorHAnsi" w:cstheme="minorHAnsi"/>
                <w:sz w:val="22"/>
                <w:szCs w:val="22"/>
              </w:rPr>
              <w:t>smutna</w:t>
            </w:r>
            <w:r w:rsidRPr="00604F56">
              <w:rPr>
                <w:rFonts w:asciiTheme="minorHAnsi" w:hAnsiTheme="minorHAnsi" w:cstheme="minorHAnsi"/>
                <w:sz w:val="22"/>
                <w:szCs w:val="22"/>
              </w:rPr>
              <w:t>@bkom.cz</w:t>
            </w:r>
          </w:p>
        </w:tc>
      </w:tr>
    </w:tbl>
    <w:p w14:paraId="7B5FAD02" w14:textId="77777777" w:rsidR="002A1846" w:rsidRPr="00F2068A" w:rsidRDefault="002A1846" w:rsidP="002A1846">
      <w:pPr>
        <w:spacing w:before="120" w:after="120"/>
        <w:jc w:val="both"/>
        <w:rPr>
          <w:rFonts w:asciiTheme="minorHAnsi" w:hAnsiTheme="minorHAnsi"/>
          <w:sz w:val="20"/>
          <w:szCs w:val="20"/>
        </w:rPr>
      </w:pPr>
    </w:p>
    <w:p w14:paraId="207D246F" w14:textId="77777777"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Veřejná zakázka</w:t>
      </w:r>
    </w:p>
    <w:tbl>
      <w:tblPr>
        <w:tblW w:w="9288" w:type="dxa"/>
        <w:tblLook w:val="01E0" w:firstRow="1" w:lastRow="1" w:firstColumn="1" w:lastColumn="1" w:noHBand="0" w:noVBand="0"/>
      </w:tblPr>
      <w:tblGrid>
        <w:gridCol w:w="2599"/>
        <w:gridCol w:w="29"/>
        <w:gridCol w:w="6660"/>
      </w:tblGrid>
      <w:tr w:rsidR="002A1846" w:rsidRPr="00F2068A" w14:paraId="04444492" w14:textId="77777777" w:rsidTr="002646BE">
        <w:trPr>
          <w:trHeight w:val="450"/>
        </w:trPr>
        <w:tc>
          <w:tcPr>
            <w:tcW w:w="2599" w:type="dxa"/>
          </w:tcPr>
          <w:p w14:paraId="7BEB6FCA" w14:textId="77777777" w:rsidR="002A1846" w:rsidRPr="00F2068A" w:rsidRDefault="002A1846" w:rsidP="002646BE">
            <w:pPr>
              <w:spacing w:before="120" w:after="120"/>
              <w:rPr>
                <w:rFonts w:asciiTheme="minorHAnsi" w:hAnsiTheme="minorHAnsi"/>
              </w:rPr>
            </w:pPr>
            <w:r w:rsidRPr="00F2068A">
              <w:rPr>
                <w:rFonts w:asciiTheme="minorHAnsi" w:hAnsiTheme="minorHAnsi"/>
                <w:sz w:val="22"/>
                <w:szCs w:val="22"/>
              </w:rPr>
              <w:t>Předmět zakázky</w:t>
            </w:r>
          </w:p>
        </w:tc>
        <w:tc>
          <w:tcPr>
            <w:tcW w:w="6689" w:type="dxa"/>
            <w:gridSpan w:val="2"/>
          </w:tcPr>
          <w:p w14:paraId="744C178E" w14:textId="77777777" w:rsidR="007F0D40" w:rsidRDefault="007F0D40" w:rsidP="007F0D40">
            <w:pPr>
              <w:jc w:val="both"/>
              <w:rPr>
                <w:rFonts w:asciiTheme="minorHAnsi" w:hAnsiTheme="minorHAnsi"/>
                <w:bCs/>
                <w:sz w:val="22"/>
                <w:szCs w:val="22"/>
              </w:rPr>
            </w:pPr>
          </w:p>
          <w:p w14:paraId="03FB003D" w14:textId="326CF457" w:rsidR="006535B1" w:rsidRDefault="007F0D40" w:rsidP="007F0D40">
            <w:pPr>
              <w:jc w:val="both"/>
              <w:rPr>
                <w:rFonts w:asciiTheme="minorHAnsi" w:hAnsiTheme="minorHAnsi"/>
                <w:bCs/>
                <w:sz w:val="22"/>
                <w:szCs w:val="22"/>
              </w:rPr>
            </w:pPr>
            <w:r w:rsidRPr="007F0D40">
              <w:rPr>
                <w:rFonts w:asciiTheme="minorHAnsi" w:hAnsiTheme="minorHAnsi"/>
                <w:bCs/>
                <w:sz w:val="22"/>
                <w:szCs w:val="22"/>
              </w:rPr>
              <w:t>Předmětem veřejné zakázky je realizace díla v rámci projektu s názvem: „</w:t>
            </w:r>
            <w:r w:rsidRPr="007F0D40">
              <w:rPr>
                <w:rFonts w:asciiTheme="minorHAnsi" w:hAnsiTheme="minorHAnsi"/>
                <w:b/>
                <w:bCs/>
                <w:sz w:val="22"/>
                <w:szCs w:val="22"/>
              </w:rPr>
              <w:t>VÝSTAVBA KAMEROVÉHO SYSTÉMU PRO MONITOROVÁNÍ VJEZDU DO ZÓN S DOPRAVNÍM OMEZENÍM V CENTRÁLNÍ ČÁSTI MĚSTA BRNA</w:t>
            </w:r>
            <w:r w:rsidRPr="007F0D40">
              <w:rPr>
                <w:rFonts w:asciiTheme="minorHAnsi" w:hAnsiTheme="minorHAnsi"/>
                <w:bCs/>
                <w:sz w:val="22"/>
                <w:szCs w:val="22"/>
              </w:rPr>
              <w:t xml:space="preserve">“. Jedná se o dodávku, montáž a připojení kamerových bodů kamerového systému v zóně s omezením vjezdu a pěší zóně historického </w:t>
            </w:r>
            <w:r w:rsidRPr="00147D91">
              <w:rPr>
                <w:rFonts w:asciiTheme="minorHAnsi" w:hAnsiTheme="minorHAnsi"/>
                <w:bCs/>
                <w:sz w:val="22"/>
                <w:szCs w:val="22"/>
              </w:rPr>
              <w:t>centra města Brna, včetně monitorování průjezdu vozidel, sběru dopravních dat a jejich další využití v systémech řízení dopravy (např. DIC) a napojení na optickou páteřní sít</w:t>
            </w:r>
            <w:r w:rsidR="00AA4BAB" w:rsidRPr="00147D91">
              <w:rPr>
                <w:rFonts w:asciiTheme="minorHAnsi" w:hAnsiTheme="minorHAnsi"/>
                <w:bCs/>
                <w:sz w:val="22"/>
                <w:szCs w:val="22"/>
              </w:rPr>
              <w:t xml:space="preserve"> SMB.</w:t>
            </w:r>
            <w:r w:rsidRPr="00147D91">
              <w:rPr>
                <w:rFonts w:asciiTheme="minorHAnsi" w:hAnsiTheme="minorHAnsi"/>
                <w:bCs/>
                <w:sz w:val="22"/>
                <w:szCs w:val="22"/>
              </w:rPr>
              <w:t xml:space="preserve"> Kamerové body budou sloužit především k dohledu nad novým systémem organizace dopravy a parkování v centru města</w:t>
            </w:r>
            <w:r w:rsidR="00147D91" w:rsidRPr="00147D91">
              <w:rPr>
                <w:rFonts w:asciiTheme="minorHAnsi" w:hAnsiTheme="minorHAnsi"/>
                <w:bCs/>
                <w:sz w:val="22"/>
                <w:szCs w:val="22"/>
              </w:rPr>
              <w:t>.</w:t>
            </w:r>
            <w:r w:rsidRPr="00147D91">
              <w:rPr>
                <w:rFonts w:asciiTheme="minorHAnsi" w:hAnsiTheme="minorHAnsi"/>
                <w:bCs/>
                <w:sz w:val="22"/>
                <w:szCs w:val="22"/>
              </w:rPr>
              <w:t xml:space="preserve"> </w:t>
            </w:r>
            <w:r w:rsidR="00AA4BAB" w:rsidRPr="00147D91">
              <w:rPr>
                <w:rFonts w:asciiTheme="minorHAnsi" w:hAnsiTheme="minorHAnsi"/>
                <w:bCs/>
                <w:sz w:val="22"/>
                <w:szCs w:val="22"/>
              </w:rPr>
              <w:t>Kamery</w:t>
            </w:r>
            <w:r w:rsidR="00AA4BAB">
              <w:rPr>
                <w:rFonts w:asciiTheme="minorHAnsi" w:hAnsiTheme="minorHAnsi"/>
                <w:bCs/>
                <w:sz w:val="22"/>
                <w:szCs w:val="22"/>
              </w:rPr>
              <w:t xml:space="preserve"> nainstalované na </w:t>
            </w:r>
            <w:r w:rsidR="00147D91">
              <w:rPr>
                <w:rFonts w:asciiTheme="minorHAnsi" w:hAnsiTheme="minorHAnsi"/>
                <w:bCs/>
                <w:sz w:val="22"/>
                <w:szCs w:val="22"/>
              </w:rPr>
              <w:t>22</w:t>
            </w:r>
            <w:r w:rsidR="00AA4BAB">
              <w:rPr>
                <w:rFonts w:asciiTheme="minorHAnsi" w:hAnsiTheme="minorHAnsi"/>
                <w:bCs/>
                <w:sz w:val="22"/>
                <w:szCs w:val="22"/>
              </w:rPr>
              <w:t xml:space="preserve"> vybraných vjezdech do centra umožní </w:t>
            </w:r>
            <w:r w:rsidR="00AA4BAB" w:rsidRPr="00AA4BAB">
              <w:rPr>
                <w:rFonts w:asciiTheme="minorHAnsi" w:hAnsiTheme="minorHAnsi"/>
                <w:bCs/>
                <w:sz w:val="22"/>
                <w:szCs w:val="22"/>
              </w:rPr>
              <w:t>čtení RZ vozidel</w:t>
            </w:r>
            <w:r w:rsidR="00AA4BAB">
              <w:rPr>
                <w:rFonts w:asciiTheme="minorHAnsi" w:hAnsiTheme="minorHAnsi"/>
                <w:bCs/>
                <w:sz w:val="22"/>
                <w:szCs w:val="22"/>
              </w:rPr>
              <w:t xml:space="preserve"> a instalaci</w:t>
            </w:r>
            <w:r w:rsidR="00AA4BAB" w:rsidRPr="00AA4BAB">
              <w:rPr>
                <w:rFonts w:asciiTheme="minorHAnsi" w:hAnsiTheme="minorHAnsi"/>
                <w:bCs/>
                <w:sz w:val="22"/>
                <w:szCs w:val="22"/>
              </w:rPr>
              <w:t xml:space="preserve"> aplikace a serverového řešení</w:t>
            </w:r>
            <w:r w:rsidR="00AA4BAB">
              <w:rPr>
                <w:rFonts w:asciiTheme="minorHAnsi" w:hAnsiTheme="minorHAnsi"/>
                <w:bCs/>
                <w:sz w:val="22"/>
                <w:szCs w:val="22"/>
              </w:rPr>
              <w:t>, které</w:t>
            </w:r>
            <w:r w:rsidR="00AA4BAB" w:rsidRPr="00AA4BAB">
              <w:rPr>
                <w:rFonts w:asciiTheme="minorHAnsi" w:hAnsiTheme="minorHAnsi"/>
                <w:bCs/>
                <w:sz w:val="22"/>
                <w:szCs w:val="22"/>
              </w:rPr>
              <w:t xml:space="preserve"> </w:t>
            </w:r>
            <w:r w:rsidR="00AA4BAB">
              <w:rPr>
                <w:rFonts w:asciiTheme="minorHAnsi" w:hAnsiTheme="minorHAnsi"/>
                <w:bCs/>
                <w:sz w:val="22"/>
                <w:szCs w:val="22"/>
              </w:rPr>
              <w:t>bude umožňovat</w:t>
            </w:r>
            <w:r w:rsidR="00AA4BAB" w:rsidRPr="00AA4BAB">
              <w:rPr>
                <w:rFonts w:asciiTheme="minorHAnsi" w:hAnsiTheme="minorHAnsi"/>
                <w:bCs/>
                <w:sz w:val="22"/>
                <w:szCs w:val="22"/>
              </w:rPr>
              <w:t xml:space="preserve"> rozpoznávání velikosti vozidel</w:t>
            </w:r>
            <w:r w:rsidR="00AA4BAB">
              <w:rPr>
                <w:rFonts w:asciiTheme="minorHAnsi" w:hAnsiTheme="minorHAnsi"/>
                <w:bCs/>
                <w:sz w:val="22"/>
                <w:szCs w:val="22"/>
              </w:rPr>
              <w:t xml:space="preserve"> (do 3,5t, nad 3,5 t, nad 5,0t)</w:t>
            </w:r>
            <w:r w:rsidR="00AA4BAB" w:rsidRPr="00AA4BAB">
              <w:rPr>
                <w:rFonts w:asciiTheme="minorHAnsi" w:hAnsiTheme="minorHAnsi"/>
                <w:bCs/>
                <w:sz w:val="22"/>
                <w:szCs w:val="22"/>
              </w:rPr>
              <w:t xml:space="preserve"> a </w:t>
            </w:r>
            <w:r w:rsidR="00AA4BAB" w:rsidRPr="00AA4BAB">
              <w:rPr>
                <w:rFonts w:asciiTheme="minorHAnsi" w:hAnsiTheme="minorHAnsi"/>
                <w:bCs/>
                <w:sz w:val="22"/>
                <w:szCs w:val="22"/>
              </w:rPr>
              <w:lastRenderedPageBreak/>
              <w:t>typu vozidla pomocí technologie DEEP LAERNING</w:t>
            </w:r>
            <w:r w:rsidR="00AA4BAB">
              <w:rPr>
                <w:rFonts w:asciiTheme="minorHAnsi" w:hAnsiTheme="minorHAnsi"/>
                <w:bCs/>
                <w:sz w:val="22"/>
                <w:szCs w:val="22"/>
              </w:rPr>
              <w:t xml:space="preserve"> </w:t>
            </w:r>
            <w:r w:rsidR="00AA4BAB" w:rsidRPr="00AA4BAB">
              <w:rPr>
                <w:rFonts w:asciiTheme="minorHAnsi" w:hAnsiTheme="minorHAnsi"/>
                <w:bCs/>
                <w:sz w:val="22"/>
                <w:szCs w:val="22"/>
              </w:rPr>
              <w:t>a přenos dat do systému organizace a bezpečnosti dopravy SMB</w:t>
            </w:r>
            <w:r w:rsidR="001A06BD">
              <w:rPr>
                <w:rFonts w:asciiTheme="minorHAnsi" w:hAnsiTheme="minorHAnsi"/>
                <w:bCs/>
                <w:sz w:val="22"/>
                <w:szCs w:val="22"/>
              </w:rPr>
              <w:t>, který umožní zpracování podezření z  přestupků vzniklých porušením dopravního značení v centrální části města. Montáž technologie a připojení bude realizována dle p</w:t>
            </w:r>
            <w:r w:rsidR="00AA4BAB" w:rsidRPr="00AA4BAB">
              <w:rPr>
                <w:rFonts w:asciiTheme="minorHAnsi" w:hAnsiTheme="minorHAnsi"/>
                <w:bCs/>
                <w:sz w:val="22"/>
                <w:szCs w:val="22"/>
              </w:rPr>
              <w:t>rojektu  z 15.6.2018</w:t>
            </w:r>
            <w:r w:rsidR="001A06BD">
              <w:rPr>
                <w:rFonts w:asciiTheme="minorHAnsi" w:hAnsiTheme="minorHAnsi"/>
                <w:bCs/>
                <w:sz w:val="22"/>
                <w:szCs w:val="22"/>
              </w:rPr>
              <w:t>.</w:t>
            </w:r>
          </w:p>
          <w:p w14:paraId="36F70A29" w14:textId="7ED1B05A" w:rsidR="006535B1" w:rsidRPr="00237A56" w:rsidRDefault="006535B1" w:rsidP="006535B1">
            <w:pPr>
              <w:jc w:val="both"/>
              <w:rPr>
                <w:rFonts w:asciiTheme="minorHAnsi" w:hAnsiTheme="minorHAnsi"/>
                <w:b/>
                <w:bCs/>
                <w:sz w:val="22"/>
                <w:szCs w:val="22"/>
                <w:u w:val="single"/>
              </w:rPr>
            </w:pPr>
            <w:r w:rsidRPr="00237A56">
              <w:rPr>
                <w:rFonts w:asciiTheme="minorHAnsi" w:hAnsiTheme="minorHAnsi"/>
                <w:b/>
                <w:bCs/>
                <w:sz w:val="22"/>
                <w:szCs w:val="22"/>
                <w:u w:val="single"/>
              </w:rPr>
              <w:t>Plnění je rozděleno do II. etap.</w:t>
            </w:r>
          </w:p>
          <w:p w14:paraId="4002CD21" w14:textId="747EBD3D" w:rsidR="006535B1" w:rsidRPr="006535B1" w:rsidRDefault="006535B1" w:rsidP="006535B1">
            <w:pPr>
              <w:pStyle w:val="Odstavecseseznamem"/>
              <w:numPr>
                <w:ilvl w:val="0"/>
                <w:numId w:val="14"/>
              </w:numPr>
              <w:jc w:val="both"/>
              <w:rPr>
                <w:rFonts w:asciiTheme="minorHAnsi" w:hAnsiTheme="minorHAnsi"/>
                <w:bCs/>
                <w:sz w:val="22"/>
                <w:szCs w:val="22"/>
                <w:u w:val="single"/>
              </w:rPr>
            </w:pPr>
            <w:r w:rsidRPr="006535B1">
              <w:rPr>
                <w:rFonts w:asciiTheme="minorHAnsi" w:hAnsiTheme="minorHAnsi"/>
                <w:bCs/>
                <w:sz w:val="22"/>
                <w:szCs w:val="22"/>
                <w:u w:val="single"/>
              </w:rPr>
              <w:t>Etapa:</w:t>
            </w:r>
          </w:p>
          <w:p w14:paraId="58625E40" w14:textId="44B7BB89" w:rsidR="006535B1" w:rsidRPr="006535B1" w:rsidRDefault="006535B1" w:rsidP="006535B1">
            <w:pPr>
              <w:jc w:val="both"/>
              <w:rPr>
                <w:rFonts w:asciiTheme="minorHAnsi" w:hAnsiTheme="minorHAnsi"/>
                <w:bCs/>
                <w:sz w:val="22"/>
                <w:szCs w:val="22"/>
              </w:rPr>
            </w:pPr>
            <w:r w:rsidRPr="006535B1">
              <w:rPr>
                <w:rFonts w:asciiTheme="minorHAnsi" w:hAnsiTheme="minorHAnsi"/>
                <w:bCs/>
                <w:sz w:val="22"/>
                <w:szCs w:val="22"/>
              </w:rPr>
              <w:t xml:space="preserve">V první části </w:t>
            </w:r>
            <w:r>
              <w:rPr>
                <w:rFonts w:asciiTheme="minorHAnsi" w:hAnsiTheme="minorHAnsi"/>
                <w:bCs/>
                <w:sz w:val="22"/>
                <w:szCs w:val="22"/>
              </w:rPr>
              <w:t xml:space="preserve">veřejné </w:t>
            </w:r>
            <w:r w:rsidRPr="006535B1">
              <w:rPr>
                <w:rFonts w:asciiTheme="minorHAnsi" w:hAnsiTheme="minorHAnsi"/>
                <w:bCs/>
                <w:sz w:val="22"/>
                <w:szCs w:val="22"/>
              </w:rPr>
              <w:t xml:space="preserve">zakázky bude řešeno napájení jednotlivých kamerových bodů z přilehlých objektů v majetku </w:t>
            </w:r>
            <w:r>
              <w:rPr>
                <w:rFonts w:asciiTheme="minorHAnsi" w:hAnsiTheme="minorHAnsi"/>
                <w:bCs/>
                <w:sz w:val="22"/>
                <w:szCs w:val="22"/>
              </w:rPr>
              <w:t>statutárního města Brna</w:t>
            </w:r>
            <w:r w:rsidRPr="006535B1">
              <w:rPr>
                <w:rFonts w:asciiTheme="minorHAnsi" w:hAnsiTheme="minorHAnsi"/>
                <w:bCs/>
                <w:sz w:val="22"/>
                <w:szCs w:val="22"/>
              </w:rPr>
              <w:t xml:space="preserve">, nebo v majetku smluvních partnerů </w:t>
            </w:r>
            <w:r>
              <w:rPr>
                <w:rFonts w:asciiTheme="minorHAnsi" w:hAnsiTheme="minorHAnsi"/>
                <w:bCs/>
                <w:sz w:val="22"/>
                <w:szCs w:val="22"/>
              </w:rPr>
              <w:t>statutárního města Brna</w:t>
            </w:r>
            <w:r w:rsidRPr="006535B1">
              <w:rPr>
                <w:rFonts w:asciiTheme="minorHAnsi" w:hAnsiTheme="minorHAnsi"/>
                <w:bCs/>
                <w:sz w:val="22"/>
                <w:szCs w:val="22"/>
              </w:rPr>
              <w:t xml:space="preserve">. K montáži kamer budou využity pláště přilehlých budov, nově instalované speciální sloupky, trakční sloupy </w:t>
            </w:r>
            <w:r>
              <w:rPr>
                <w:rFonts w:asciiTheme="minorHAnsi" w:hAnsiTheme="minorHAnsi"/>
                <w:bCs/>
                <w:sz w:val="22"/>
                <w:szCs w:val="22"/>
              </w:rPr>
              <w:t xml:space="preserve">Dopravního podniku města Brna a.s.                   </w:t>
            </w:r>
            <w:r w:rsidRPr="006535B1">
              <w:rPr>
                <w:rFonts w:asciiTheme="minorHAnsi" w:hAnsiTheme="minorHAnsi"/>
                <w:bCs/>
                <w:sz w:val="22"/>
                <w:szCs w:val="22"/>
              </w:rPr>
              <w:t xml:space="preserve"> a sloupy </w:t>
            </w:r>
            <w:r>
              <w:rPr>
                <w:rFonts w:asciiTheme="minorHAnsi" w:hAnsiTheme="minorHAnsi"/>
                <w:bCs/>
                <w:sz w:val="22"/>
                <w:szCs w:val="22"/>
              </w:rPr>
              <w:t xml:space="preserve">veřejného osvětlení </w:t>
            </w:r>
            <w:r w:rsidRPr="006535B1">
              <w:rPr>
                <w:rFonts w:asciiTheme="minorHAnsi" w:hAnsiTheme="minorHAnsi"/>
                <w:bCs/>
                <w:sz w:val="22"/>
                <w:szCs w:val="22"/>
              </w:rPr>
              <w:t xml:space="preserve">ve správě </w:t>
            </w:r>
            <w:r>
              <w:rPr>
                <w:rFonts w:asciiTheme="minorHAnsi" w:hAnsiTheme="minorHAnsi"/>
                <w:bCs/>
                <w:sz w:val="22"/>
                <w:szCs w:val="22"/>
              </w:rPr>
              <w:t>Technických sítí Brna a.s.</w:t>
            </w:r>
            <w:r w:rsidR="002026FD">
              <w:rPr>
                <w:rFonts w:asciiTheme="minorHAnsi" w:hAnsiTheme="minorHAnsi"/>
                <w:bCs/>
                <w:sz w:val="22"/>
                <w:szCs w:val="22"/>
              </w:rPr>
              <w:t xml:space="preserve"> </w:t>
            </w:r>
            <w:r w:rsidRPr="006535B1">
              <w:rPr>
                <w:rFonts w:asciiTheme="minorHAnsi" w:hAnsiTheme="minorHAnsi"/>
                <w:bCs/>
                <w:sz w:val="22"/>
                <w:szCs w:val="22"/>
              </w:rPr>
              <w:t>Součástí první etapy bude zprovoznění aplikace a technologie pro čtení RZ vozidel a přenosu dat přes modemy LTE do systému SOBD.</w:t>
            </w:r>
          </w:p>
          <w:p w14:paraId="2628A69F" w14:textId="28AF17A6" w:rsidR="006535B1" w:rsidRPr="006535B1" w:rsidRDefault="006535B1" w:rsidP="006535B1">
            <w:pPr>
              <w:pStyle w:val="Odstavecseseznamem"/>
              <w:numPr>
                <w:ilvl w:val="0"/>
                <w:numId w:val="14"/>
              </w:numPr>
              <w:jc w:val="both"/>
              <w:rPr>
                <w:rFonts w:asciiTheme="minorHAnsi" w:hAnsiTheme="minorHAnsi"/>
                <w:bCs/>
                <w:sz w:val="22"/>
                <w:szCs w:val="22"/>
                <w:u w:val="single"/>
              </w:rPr>
            </w:pPr>
            <w:r w:rsidRPr="006535B1">
              <w:rPr>
                <w:rFonts w:asciiTheme="minorHAnsi" w:hAnsiTheme="minorHAnsi"/>
                <w:bCs/>
                <w:sz w:val="22"/>
                <w:szCs w:val="22"/>
                <w:u w:val="single"/>
              </w:rPr>
              <w:t>Etapa:</w:t>
            </w:r>
          </w:p>
          <w:p w14:paraId="1EB55E07" w14:textId="7B95EDE8" w:rsidR="006535B1" w:rsidRDefault="006535B1" w:rsidP="006535B1">
            <w:pPr>
              <w:jc w:val="both"/>
              <w:rPr>
                <w:rFonts w:asciiTheme="minorHAnsi" w:hAnsiTheme="minorHAnsi"/>
                <w:bCs/>
                <w:sz w:val="22"/>
                <w:szCs w:val="22"/>
              </w:rPr>
            </w:pPr>
            <w:r w:rsidRPr="006535B1">
              <w:rPr>
                <w:rFonts w:asciiTheme="minorHAnsi" w:hAnsiTheme="minorHAnsi"/>
                <w:bCs/>
                <w:sz w:val="22"/>
                <w:szCs w:val="22"/>
              </w:rPr>
              <w:t xml:space="preserve">V druhé části zakázky bude realizováno připojení kamerových bodů k optické síti </w:t>
            </w:r>
            <w:r>
              <w:rPr>
                <w:rFonts w:asciiTheme="minorHAnsi" w:hAnsiTheme="minorHAnsi"/>
                <w:bCs/>
                <w:sz w:val="22"/>
                <w:szCs w:val="22"/>
              </w:rPr>
              <w:t>statutárního města Brna</w:t>
            </w:r>
            <w:r w:rsidRPr="006535B1">
              <w:rPr>
                <w:rFonts w:asciiTheme="minorHAnsi" w:hAnsiTheme="minorHAnsi"/>
                <w:bCs/>
                <w:sz w:val="22"/>
                <w:szCs w:val="22"/>
              </w:rPr>
              <w:t xml:space="preserve">, využitím kolektorů, prostupů přes kanalizační potrubí SMB a prostřednictvím mikrovlnného připojení k přípojným bodům optické infrastruktury </w:t>
            </w:r>
            <w:r>
              <w:rPr>
                <w:rFonts w:asciiTheme="minorHAnsi" w:hAnsiTheme="minorHAnsi"/>
                <w:bCs/>
                <w:sz w:val="22"/>
                <w:szCs w:val="22"/>
              </w:rPr>
              <w:t>statutárního města Brna</w:t>
            </w:r>
            <w:r w:rsidRPr="006535B1">
              <w:rPr>
                <w:rFonts w:asciiTheme="minorHAnsi" w:hAnsiTheme="minorHAnsi"/>
                <w:bCs/>
                <w:sz w:val="22"/>
                <w:szCs w:val="22"/>
              </w:rPr>
              <w:t>. V této etapě bude řešeno doplnění aplikace čtení RZ o aplikaci, která umožní rozpoznávání velikosti a typu vozidla</w:t>
            </w:r>
          </w:p>
          <w:p w14:paraId="00303670" w14:textId="77777777" w:rsidR="006535B1" w:rsidRDefault="006535B1" w:rsidP="007F0D40">
            <w:pPr>
              <w:jc w:val="both"/>
              <w:rPr>
                <w:rFonts w:asciiTheme="minorHAnsi" w:hAnsiTheme="minorHAnsi"/>
                <w:bCs/>
                <w:sz w:val="22"/>
                <w:szCs w:val="22"/>
              </w:rPr>
            </w:pPr>
          </w:p>
          <w:p w14:paraId="3ECC0CB8" w14:textId="3D8A5D75" w:rsidR="007F0D40" w:rsidRPr="007F0D40" w:rsidRDefault="007F0D40" w:rsidP="007F0D40">
            <w:pPr>
              <w:jc w:val="both"/>
              <w:rPr>
                <w:rFonts w:asciiTheme="minorHAnsi" w:hAnsiTheme="minorHAnsi"/>
                <w:bCs/>
                <w:sz w:val="22"/>
                <w:szCs w:val="22"/>
              </w:rPr>
            </w:pPr>
            <w:r w:rsidRPr="007F0D40">
              <w:rPr>
                <w:rFonts w:asciiTheme="minorHAnsi" w:hAnsiTheme="minorHAnsi"/>
                <w:bCs/>
                <w:sz w:val="22"/>
                <w:szCs w:val="22"/>
              </w:rPr>
              <w:t>Předmětem veřejné zakázky je dodávka, montáž a připojení těchto kamerových bodů:</w:t>
            </w:r>
          </w:p>
          <w:p w14:paraId="27C41483" w14:textId="26769348"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 Joštova - MK úsek</w:t>
            </w:r>
            <w:r w:rsidR="002026FD">
              <w:rPr>
                <w:rFonts w:asciiTheme="minorHAnsi" w:hAnsiTheme="minorHAnsi"/>
                <w:sz w:val="22"/>
                <w:szCs w:val="22"/>
              </w:rPr>
              <w:t xml:space="preserve"> </w:t>
            </w:r>
            <w:r w:rsidRPr="006535B1">
              <w:rPr>
                <w:rFonts w:asciiTheme="minorHAnsi" w:hAnsiTheme="minorHAnsi"/>
                <w:sz w:val="22"/>
                <w:szCs w:val="22"/>
              </w:rPr>
              <w:t xml:space="preserve">(Komenského. nám. - Opletalova) </w:t>
            </w:r>
          </w:p>
          <w:p w14:paraId="28539D90"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 xml:space="preserve">BOD 2 Solniční-MK úsek (Besední – Veselá) </w:t>
            </w:r>
          </w:p>
          <w:p w14:paraId="2AD06B17" w14:textId="644941F1"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3 ul. Středová</w:t>
            </w:r>
            <w:r w:rsidR="002026FD">
              <w:rPr>
                <w:rFonts w:asciiTheme="minorHAnsi" w:hAnsiTheme="minorHAnsi"/>
                <w:sz w:val="22"/>
                <w:szCs w:val="22"/>
              </w:rPr>
              <w:t xml:space="preserve"> </w:t>
            </w:r>
            <w:r w:rsidRPr="006535B1">
              <w:rPr>
                <w:rFonts w:asciiTheme="minorHAnsi" w:hAnsiTheme="minorHAnsi"/>
                <w:sz w:val="22"/>
                <w:szCs w:val="22"/>
              </w:rPr>
              <w:t>- Veselá</w:t>
            </w:r>
          </w:p>
          <w:p w14:paraId="18A919AA" w14:textId="77BCFACD"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4 ul. Zámečnická</w:t>
            </w:r>
            <w:r w:rsidR="002026FD">
              <w:rPr>
                <w:rFonts w:asciiTheme="minorHAnsi" w:hAnsiTheme="minorHAnsi"/>
                <w:sz w:val="22"/>
                <w:szCs w:val="22"/>
              </w:rPr>
              <w:t xml:space="preserve"> </w:t>
            </w:r>
            <w:r w:rsidRPr="006535B1">
              <w:rPr>
                <w:rFonts w:asciiTheme="minorHAnsi" w:hAnsiTheme="minorHAnsi"/>
                <w:sz w:val="22"/>
                <w:szCs w:val="22"/>
              </w:rPr>
              <w:t>- Veselá</w:t>
            </w:r>
          </w:p>
          <w:p w14:paraId="2A4A4D1A"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 xml:space="preserve">BOD 5 Šilingrovo nám.  </w:t>
            </w:r>
          </w:p>
          <w:p w14:paraId="7F7C96B7"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 xml:space="preserve">BOD 6 Biskupská </w:t>
            </w:r>
          </w:p>
          <w:p w14:paraId="69AED421" w14:textId="6563B30C"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7 ul. Starobrněnská</w:t>
            </w:r>
            <w:r w:rsidR="002026FD">
              <w:rPr>
                <w:rFonts w:asciiTheme="minorHAnsi" w:hAnsiTheme="minorHAnsi"/>
                <w:sz w:val="22"/>
                <w:szCs w:val="22"/>
              </w:rPr>
              <w:t xml:space="preserve"> </w:t>
            </w:r>
            <w:r w:rsidRPr="006535B1">
              <w:rPr>
                <w:rFonts w:asciiTheme="minorHAnsi" w:hAnsiTheme="minorHAnsi"/>
                <w:sz w:val="22"/>
                <w:szCs w:val="22"/>
              </w:rPr>
              <w:t>- Zelný trh</w:t>
            </w:r>
          </w:p>
          <w:p w14:paraId="730CD452"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8 ul. Masarykova – Zelný trh</w:t>
            </w:r>
          </w:p>
          <w:p w14:paraId="4E3A41ED"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9 Bašty úsek (Bašty)</w:t>
            </w:r>
          </w:p>
          <w:p w14:paraId="2C000FEB" w14:textId="12E9E85B"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10 Masarykova úsek (Masarykova</w:t>
            </w:r>
            <w:r w:rsidR="002026FD">
              <w:rPr>
                <w:rFonts w:asciiTheme="minorHAnsi" w:hAnsiTheme="minorHAnsi"/>
                <w:sz w:val="22"/>
                <w:szCs w:val="22"/>
              </w:rPr>
              <w:t xml:space="preserve"> </w:t>
            </w:r>
            <w:r w:rsidRPr="006535B1">
              <w:rPr>
                <w:rFonts w:asciiTheme="minorHAnsi" w:hAnsiTheme="minorHAnsi"/>
                <w:sz w:val="22"/>
                <w:szCs w:val="22"/>
              </w:rPr>
              <w:t>- dva směry)</w:t>
            </w:r>
          </w:p>
          <w:p w14:paraId="196F76A7"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11 Novobranská úsek (DPMB)</w:t>
            </w:r>
          </w:p>
          <w:p w14:paraId="642794B2"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12 ul. Josefská</w:t>
            </w:r>
          </w:p>
          <w:p w14:paraId="5D805B10"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13 Orlí</w:t>
            </w:r>
          </w:p>
          <w:p w14:paraId="20324BF5"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14 Orlí úsek (zádržný systém)</w:t>
            </w:r>
          </w:p>
          <w:p w14:paraId="4498B2FF"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15 Měnínská</w:t>
            </w:r>
          </w:p>
          <w:p w14:paraId="3117B4EF"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16 ul. Sukova směr Kobližná</w:t>
            </w:r>
          </w:p>
          <w:p w14:paraId="7584F58F"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17 ul. Sukova směr Divadelní-Rooseveltova</w:t>
            </w:r>
          </w:p>
          <w:p w14:paraId="08CD6CC2"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18 Jezuitská – MK úsek (Rooseveltova-Kozí)</w:t>
            </w:r>
          </w:p>
          <w:p w14:paraId="4BD2010E"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19 Běhounská úsek (Běhounská)</w:t>
            </w:r>
          </w:p>
          <w:p w14:paraId="527F40DD"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20 Rašínova-MK úsek (Jakubské nám.- Nám. Svobody)</w:t>
            </w:r>
          </w:p>
          <w:p w14:paraId="76E842C3" w14:textId="77777777" w:rsidR="006535B1" w:rsidRPr="006535B1" w:rsidRDefault="006535B1" w:rsidP="006535B1">
            <w:pPr>
              <w:jc w:val="both"/>
              <w:rPr>
                <w:rFonts w:asciiTheme="minorHAnsi" w:hAnsiTheme="minorHAnsi"/>
                <w:sz w:val="22"/>
                <w:szCs w:val="22"/>
              </w:rPr>
            </w:pPr>
            <w:r w:rsidRPr="006535B1">
              <w:rPr>
                <w:rFonts w:asciiTheme="minorHAnsi" w:hAnsiTheme="minorHAnsi"/>
                <w:sz w:val="22"/>
                <w:szCs w:val="22"/>
              </w:rPr>
              <w:t>BOD 21 Solniční úsek (Česká-Rašínova)</w:t>
            </w:r>
          </w:p>
          <w:p w14:paraId="475622EF" w14:textId="77777777" w:rsidR="006535B1" w:rsidRPr="006535B1" w:rsidRDefault="006535B1" w:rsidP="006535B1">
            <w:pPr>
              <w:jc w:val="both"/>
              <w:rPr>
                <w:rFonts w:asciiTheme="minorHAnsi" w:hAnsiTheme="minorHAnsi"/>
                <w:b/>
                <w:bCs/>
              </w:rPr>
            </w:pPr>
            <w:r w:rsidRPr="006535B1">
              <w:rPr>
                <w:rFonts w:asciiTheme="minorHAnsi" w:hAnsiTheme="minorHAnsi"/>
                <w:sz w:val="22"/>
                <w:szCs w:val="22"/>
              </w:rPr>
              <w:t>BOD 22 Moravské nám. úsek (kostel sv. Tomáše</w:t>
            </w:r>
            <w:r w:rsidRPr="006535B1">
              <w:rPr>
                <w:rFonts w:asciiTheme="minorHAnsi" w:hAnsiTheme="minorHAnsi"/>
              </w:rPr>
              <w:t>)</w:t>
            </w:r>
          </w:p>
          <w:p w14:paraId="55BB0F3C" w14:textId="77777777" w:rsidR="002A1846" w:rsidRPr="00F2068A" w:rsidRDefault="002A1846" w:rsidP="002646BE">
            <w:pPr>
              <w:jc w:val="both"/>
              <w:rPr>
                <w:rFonts w:asciiTheme="minorHAnsi" w:hAnsiTheme="minorHAnsi"/>
              </w:rPr>
            </w:pPr>
          </w:p>
        </w:tc>
      </w:tr>
      <w:tr w:rsidR="002A1846" w:rsidRPr="00F2068A" w14:paraId="6305A85C" w14:textId="77777777" w:rsidTr="002646BE">
        <w:tc>
          <w:tcPr>
            <w:tcW w:w="2628" w:type="dxa"/>
            <w:gridSpan w:val="2"/>
          </w:tcPr>
          <w:p w14:paraId="4A074B5D" w14:textId="77777777" w:rsidR="002A1846" w:rsidRPr="00E03949" w:rsidRDefault="002A1846" w:rsidP="002646BE">
            <w:pPr>
              <w:spacing w:before="120" w:after="120"/>
              <w:rPr>
                <w:rFonts w:asciiTheme="minorHAnsi" w:hAnsiTheme="minorHAnsi"/>
              </w:rPr>
            </w:pPr>
            <w:r w:rsidRPr="00E03949">
              <w:rPr>
                <w:rFonts w:asciiTheme="minorHAnsi" w:hAnsiTheme="minorHAnsi"/>
                <w:sz w:val="22"/>
                <w:szCs w:val="22"/>
              </w:rPr>
              <w:lastRenderedPageBreak/>
              <w:t>Klasifikace zakázky (CPV)</w:t>
            </w:r>
          </w:p>
        </w:tc>
        <w:tc>
          <w:tcPr>
            <w:tcW w:w="6660" w:type="dxa"/>
            <w:vAlign w:val="center"/>
          </w:tcPr>
          <w:p w14:paraId="14E2FCB7" w14:textId="77BD1BE2" w:rsidR="002A1846" w:rsidRPr="00E03949" w:rsidRDefault="00312F2B" w:rsidP="003718CD">
            <w:pPr>
              <w:rPr>
                <w:rFonts w:asciiTheme="minorHAnsi" w:hAnsiTheme="minorHAnsi"/>
              </w:rPr>
            </w:pPr>
            <w:r w:rsidRPr="00E03949">
              <w:rPr>
                <w:rFonts w:asciiTheme="minorHAnsi" w:hAnsiTheme="minorHAnsi"/>
                <w:bCs/>
                <w:sz w:val="22"/>
                <w:szCs w:val="22"/>
              </w:rPr>
              <w:t>35125000-6 Dohlížecí systém</w:t>
            </w:r>
          </w:p>
        </w:tc>
      </w:tr>
      <w:tr w:rsidR="002A1846" w:rsidRPr="00F2068A" w14:paraId="4C40F5BA" w14:textId="77777777" w:rsidTr="002646BE">
        <w:tc>
          <w:tcPr>
            <w:tcW w:w="2599" w:type="dxa"/>
          </w:tcPr>
          <w:p w14:paraId="6B18ADE2" w14:textId="77777777" w:rsidR="002A1846" w:rsidRPr="00E03949" w:rsidRDefault="002A1846" w:rsidP="002646BE">
            <w:pPr>
              <w:spacing w:before="120" w:after="120"/>
              <w:rPr>
                <w:rFonts w:asciiTheme="minorHAnsi" w:hAnsiTheme="minorHAnsi"/>
              </w:rPr>
            </w:pPr>
            <w:r w:rsidRPr="00E03949">
              <w:rPr>
                <w:rFonts w:asciiTheme="minorHAnsi" w:hAnsiTheme="minorHAnsi"/>
                <w:sz w:val="22"/>
                <w:szCs w:val="22"/>
              </w:rPr>
              <w:t>URL zakázky</w:t>
            </w:r>
          </w:p>
        </w:tc>
        <w:tc>
          <w:tcPr>
            <w:tcW w:w="6689" w:type="dxa"/>
            <w:gridSpan w:val="2"/>
          </w:tcPr>
          <w:p w14:paraId="2CD3967D" w14:textId="0F0EDDDE" w:rsidR="002A1846" w:rsidRPr="00E03949" w:rsidRDefault="00E03949" w:rsidP="00CA326D">
            <w:pPr>
              <w:spacing w:before="120" w:after="120"/>
              <w:jc w:val="both"/>
              <w:rPr>
                <w:rFonts w:asciiTheme="minorHAnsi" w:hAnsiTheme="minorHAnsi"/>
              </w:rPr>
            </w:pPr>
            <w:r w:rsidRPr="00E03949">
              <w:rPr>
                <w:rFonts w:asciiTheme="minorHAnsi" w:hAnsiTheme="minorHAnsi" w:cstheme="minorHAnsi"/>
                <w:sz w:val="22"/>
                <w:szCs w:val="22"/>
                <w:u w:val="single"/>
                <w:lang w:val="x-none"/>
              </w:rPr>
              <w:t>https://nen.nipez.cz/profil/MMB</w:t>
            </w:r>
          </w:p>
        </w:tc>
      </w:tr>
      <w:tr w:rsidR="002A1846" w:rsidRPr="00F2068A" w14:paraId="74C92C08" w14:textId="77777777" w:rsidTr="002646BE">
        <w:tc>
          <w:tcPr>
            <w:tcW w:w="2599" w:type="dxa"/>
          </w:tcPr>
          <w:p w14:paraId="731FC2E0" w14:textId="77777777" w:rsidR="002A1846" w:rsidRPr="00F2068A" w:rsidRDefault="002A1846" w:rsidP="002646BE">
            <w:pPr>
              <w:spacing w:before="120" w:after="120"/>
              <w:rPr>
                <w:rFonts w:asciiTheme="minorHAnsi" w:hAnsiTheme="minorHAnsi"/>
              </w:rPr>
            </w:pPr>
            <w:r w:rsidRPr="00F2068A">
              <w:rPr>
                <w:rFonts w:asciiTheme="minorHAnsi" w:hAnsiTheme="minorHAnsi"/>
                <w:sz w:val="22"/>
                <w:szCs w:val="22"/>
              </w:rPr>
              <w:t xml:space="preserve">Druh veřejné zakázky </w:t>
            </w:r>
          </w:p>
        </w:tc>
        <w:tc>
          <w:tcPr>
            <w:tcW w:w="6689" w:type="dxa"/>
            <w:gridSpan w:val="2"/>
          </w:tcPr>
          <w:p w14:paraId="2483F134" w14:textId="77777777" w:rsidR="002A1846" w:rsidRPr="00F2068A" w:rsidRDefault="00B53CFC" w:rsidP="002646BE">
            <w:pPr>
              <w:spacing w:before="120" w:after="120"/>
              <w:jc w:val="both"/>
              <w:rPr>
                <w:rFonts w:asciiTheme="minorHAnsi" w:hAnsiTheme="minorHAnsi"/>
              </w:rPr>
            </w:pPr>
            <w:r w:rsidRPr="002C24BA">
              <w:rPr>
                <w:rFonts w:asciiTheme="minorHAnsi" w:hAnsiTheme="minorHAnsi" w:cstheme="minorHAnsi"/>
                <w:sz w:val="22"/>
                <w:szCs w:val="22"/>
              </w:rPr>
              <w:t>Nadlimitní veřejná zakázka na dodávky</w:t>
            </w:r>
          </w:p>
        </w:tc>
      </w:tr>
      <w:tr w:rsidR="002A1846" w:rsidRPr="00F2068A" w14:paraId="13743C96" w14:textId="77777777" w:rsidTr="002646BE">
        <w:tc>
          <w:tcPr>
            <w:tcW w:w="2599" w:type="dxa"/>
          </w:tcPr>
          <w:p w14:paraId="64AB2E6F" w14:textId="77777777" w:rsidR="002A1846" w:rsidRPr="00F2068A" w:rsidRDefault="002A1846" w:rsidP="002646BE">
            <w:pPr>
              <w:spacing w:before="120" w:after="120"/>
              <w:rPr>
                <w:rFonts w:asciiTheme="minorHAnsi" w:hAnsiTheme="minorHAnsi"/>
              </w:rPr>
            </w:pPr>
            <w:r w:rsidRPr="00F2068A">
              <w:rPr>
                <w:rFonts w:asciiTheme="minorHAnsi" w:hAnsiTheme="minorHAnsi"/>
                <w:sz w:val="22"/>
                <w:szCs w:val="22"/>
              </w:rPr>
              <w:t>Druh zadávacího řízení</w:t>
            </w:r>
          </w:p>
        </w:tc>
        <w:tc>
          <w:tcPr>
            <w:tcW w:w="6689" w:type="dxa"/>
            <w:gridSpan w:val="2"/>
          </w:tcPr>
          <w:p w14:paraId="16213829" w14:textId="77777777" w:rsidR="002A1846" w:rsidRPr="00F2068A" w:rsidRDefault="001764B9" w:rsidP="002646BE">
            <w:pPr>
              <w:spacing w:before="120" w:after="120"/>
              <w:jc w:val="both"/>
              <w:rPr>
                <w:rFonts w:asciiTheme="minorHAnsi" w:hAnsiTheme="minorHAnsi"/>
              </w:rPr>
            </w:pPr>
            <w:r w:rsidRPr="00EF0F1B">
              <w:rPr>
                <w:rFonts w:asciiTheme="minorHAnsi" w:hAnsiTheme="minorHAnsi" w:cstheme="minorHAnsi"/>
                <w:sz w:val="22"/>
                <w:szCs w:val="22"/>
              </w:rPr>
              <w:t>Postupováno bude v souladu §56 zákona</w:t>
            </w:r>
            <w:r w:rsidRPr="00583F4A">
              <w:rPr>
                <w:rFonts w:asciiTheme="minorHAnsi" w:hAnsiTheme="minorHAnsi" w:cstheme="minorHAnsi"/>
                <w:sz w:val="22"/>
                <w:szCs w:val="22"/>
              </w:rPr>
              <w:t xml:space="preserve"> č. 134/2016Sb., o zadávání veřejných zakázek (</w:t>
            </w:r>
            <w:r w:rsidR="001857EF">
              <w:rPr>
                <w:rFonts w:asciiTheme="minorHAnsi" w:hAnsiTheme="minorHAnsi" w:cstheme="minorHAnsi"/>
                <w:sz w:val="22"/>
                <w:szCs w:val="22"/>
              </w:rPr>
              <w:t>dále jen ZZVZ)</w:t>
            </w:r>
          </w:p>
        </w:tc>
      </w:tr>
      <w:tr w:rsidR="002A1846" w:rsidRPr="00F2068A" w14:paraId="1D6F2668" w14:textId="77777777" w:rsidTr="002646BE">
        <w:trPr>
          <w:trHeight w:val="574"/>
        </w:trPr>
        <w:tc>
          <w:tcPr>
            <w:tcW w:w="2599" w:type="dxa"/>
          </w:tcPr>
          <w:p w14:paraId="6D45091A" w14:textId="77777777" w:rsidR="002A1846" w:rsidRPr="00F2068A" w:rsidRDefault="002A1846" w:rsidP="002646BE">
            <w:pPr>
              <w:spacing w:before="120" w:after="120"/>
              <w:rPr>
                <w:rFonts w:asciiTheme="minorHAnsi" w:hAnsiTheme="minorHAnsi"/>
              </w:rPr>
            </w:pPr>
            <w:r w:rsidRPr="00F2068A">
              <w:rPr>
                <w:rFonts w:asciiTheme="minorHAnsi" w:hAnsiTheme="minorHAnsi"/>
                <w:sz w:val="22"/>
                <w:szCs w:val="22"/>
              </w:rPr>
              <w:t>Předpokládaná hodnota</w:t>
            </w:r>
          </w:p>
        </w:tc>
        <w:tc>
          <w:tcPr>
            <w:tcW w:w="6689" w:type="dxa"/>
            <w:gridSpan w:val="2"/>
          </w:tcPr>
          <w:p w14:paraId="0C7B16A5" w14:textId="6DA07B49" w:rsidR="002A1846" w:rsidRPr="00F2068A" w:rsidRDefault="00312F2B" w:rsidP="002646BE">
            <w:pPr>
              <w:spacing w:before="120" w:after="120"/>
              <w:jc w:val="both"/>
              <w:rPr>
                <w:rFonts w:asciiTheme="minorHAnsi" w:hAnsiTheme="minorHAnsi"/>
                <w:b/>
              </w:rPr>
            </w:pPr>
            <w:r>
              <w:rPr>
                <w:rFonts w:asciiTheme="minorHAnsi" w:hAnsiTheme="minorHAnsi"/>
                <w:b/>
                <w:sz w:val="22"/>
                <w:szCs w:val="22"/>
              </w:rPr>
              <w:t>31</w:t>
            </w:r>
            <w:r w:rsidR="004E2388">
              <w:rPr>
                <w:rFonts w:asciiTheme="minorHAnsi" w:hAnsiTheme="minorHAnsi"/>
                <w:b/>
                <w:sz w:val="22"/>
                <w:szCs w:val="22"/>
              </w:rPr>
              <w:t>.</w:t>
            </w:r>
            <w:r>
              <w:rPr>
                <w:rFonts w:asciiTheme="minorHAnsi" w:hAnsiTheme="minorHAnsi"/>
                <w:b/>
                <w:sz w:val="22"/>
                <w:szCs w:val="22"/>
              </w:rPr>
              <w:t>0</w:t>
            </w:r>
            <w:r w:rsidR="004E2388">
              <w:rPr>
                <w:rFonts w:asciiTheme="minorHAnsi" w:hAnsiTheme="minorHAnsi"/>
                <w:b/>
                <w:sz w:val="22"/>
                <w:szCs w:val="22"/>
              </w:rPr>
              <w:t>00.000,-</w:t>
            </w:r>
            <w:r w:rsidR="002A1846" w:rsidRPr="00F2068A">
              <w:rPr>
                <w:rFonts w:asciiTheme="minorHAnsi" w:hAnsiTheme="minorHAnsi"/>
                <w:b/>
                <w:sz w:val="22"/>
                <w:szCs w:val="22"/>
              </w:rPr>
              <w:t xml:space="preserve"> Kč bez DPH</w:t>
            </w:r>
          </w:p>
          <w:p w14:paraId="69207681" w14:textId="77777777" w:rsidR="002A1846" w:rsidRPr="00F2068A" w:rsidRDefault="002A1846" w:rsidP="002646BE">
            <w:pPr>
              <w:spacing w:before="120" w:after="120"/>
              <w:jc w:val="both"/>
              <w:rPr>
                <w:rFonts w:asciiTheme="minorHAnsi" w:hAnsiTheme="minorHAnsi"/>
              </w:rPr>
            </w:pPr>
          </w:p>
        </w:tc>
      </w:tr>
    </w:tbl>
    <w:p w14:paraId="4C211AB4" w14:textId="77777777"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obchodní a technické Podmínky, místo plnění</w:t>
      </w:r>
    </w:p>
    <w:p w14:paraId="2D0A4AB3" w14:textId="6BA814A5" w:rsidR="002A1846" w:rsidRPr="00F2068A" w:rsidRDefault="002A1846" w:rsidP="00D06FDB">
      <w:pPr>
        <w:tabs>
          <w:tab w:val="left" w:pos="2552"/>
        </w:tabs>
        <w:spacing w:before="120" w:after="120"/>
        <w:ind w:left="1276" w:hanging="1276"/>
        <w:jc w:val="both"/>
        <w:rPr>
          <w:rFonts w:asciiTheme="minorHAnsi" w:hAnsiTheme="minorHAnsi"/>
          <w:b/>
          <w:sz w:val="22"/>
          <w:szCs w:val="22"/>
        </w:rPr>
      </w:pPr>
      <w:r w:rsidRPr="00F2068A">
        <w:rPr>
          <w:rFonts w:asciiTheme="minorHAnsi" w:hAnsiTheme="minorHAnsi"/>
          <w:b/>
          <w:sz w:val="22"/>
          <w:szCs w:val="22"/>
        </w:rPr>
        <w:t>Místo plnění</w:t>
      </w:r>
      <w:r w:rsidR="00237A56">
        <w:rPr>
          <w:rFonts w:asciiTheme="minorHAnsi" w:hAnsiTheme="minorHAnsi"/>
          <w:b/>
          <w:sz w:val="22"/>
          <w:szCs w:val="22"/>
        </w:rPr>
        <w:t>:</w:t>
      </w:r>
      <w:r w:rsidRPr="00F2068A">
        <w:rPr>
          <w:rFonts w:asciiTheme="minorHAnsi" w:hAnsiTheme="minorHAnsi"/>
          <w:sz w:val="22"/>
          <w:szCs w:val="22"/>
        </w:rPr>
        <w:t xml:space="preserve"> </w:t>
      </w:r>
      <w:r w:rsidR="00D06FDB">
        <w:rPr>
          <w:rFonts w:asciiTheme="minorHAnsi" w:hAnsiTheme="minorHAnsi"/>
          <w:sz w:val="22"/>
          <w:szCs w:val="22"/>
        </w:rPr>
        <w:tab/>
      </w:r>
      <w:r w:rsidR="00237A56">
        <w:rPr>
          <w:rFonts w:asciiTheme="minorHAnsi" w:hAnsiTheme="minorHAnsi"/>
          <w:sz w:val="22"/>
          <w:szCs w:val="22"/>
        </w:rPr>
        <w:t>m</w:t>
      </w:r>
      <w:r w:rsidR="00312F2B" w:rsidRPr="00312F2B">
        <w:rPr>
          <w:rFonts w:asciiTheme="minorHAnsi" w:hAnsiTheme="minorHAnsi"/>
          <w:sz w:val="22"/>
          <w:szCs w:val="22"/>
        </w:rPr>
        <w:t>ístem plnění je statutární město Brno, blíže specifikováno v projektové dokumentaci</w:t>
      </w:r>
      <w:r w:rsidR="00DB59C5">
        <w:rPr>
          <w:rFonts w:asciiTheme="minorHAnsi" w:hAnsiTheme="minorHAnsi"/>
          <w:sz w:val="22"/>
          <w:szCs w:val="22"/>
        </w:rPr>
        <w:t>.</w:t>
      </w:r>
    </w:p>
    <w:p w14:paraId="7ACA7915" w14:textId="2BE4B747" w:rsidR="00353676" w:rsidRDefault="00D06FDB" w:rsidP="00D06FDB">
      <w:pPr>
        <w:spacing w:before="120" w:after="120"/>
        <w:jc w:val="both"/>
        <w:rPr>
          <w:rFonts w:ascii="Calibri" w:hAnsi="Calibri" w:cs="Calibri"/>
          <w:sz w:val="22"/>
          <w:szCs w:val="22"/>
        </w:rPr>
      </w:pPr>
      <w:r w:rsidRPr="001D5E25">
        <w:rPr>
          <w:rFonts w:ascii="Calibri" w:hAnsi="Calibri" w:cs="Calibri"/>
          <w:b/>
          <w:sz w:val="22"/>
          <w:szCs w:val="22"/>
        </w:rPr>
        <w:t>Termín plnění</w:t>
      </w:r>
      <w:r w:rsidR="00312F2B">
        <w:rPr>
          <w:rFonts w:ascii="Calibri" w:hAnsi="Calibri" w:cs="Calibri"/>
          <w:sz w:val="22"/>
          <w:szCs w:val="22"/>
        </w:rPr>
        <w:t xml:space="preserve">: </w:t>
      </w:r>
      <w:r w:rsidR="00353676">
        <w:rPr>
          <w:rFonts w:ascii="Calibri" w:hAnsi="Calibri" w:cs="Calibri"/>
          <w:sz w:val="22"/>
          <w:szCs w:val="22"/>
        </w:rPr>
        <w:t xml:space="preserve"> </w:t>
      </w:r>
      <w:r w:rsidR="00312F2B">
        <w:rPr>
          <w:rFonts w:ascii="Calibri" w:hAnsi="Calibri" w:cs="Calibri"/>
          <w:sz w:val="22"/>
          <w:szCs w:val="22"/>
        </w:rPr>
        <w:t xml:space="preserve">I. etapa: </w:t>
      </w:r>
      <w:r w:rsidR="00353676">
        <w:rPr>
          <w:rFonts w:ascii="Calibri" w:hAnsi="Calibri" w:cs="Calibri"/>
          <w:sz w:val="22"/>
          <w:szCs w:val="22"/>
        </w:rPr>
        <w:t xml:space="preserve">nejpozději </w:t>
      </w:r>
      <w:r w:rsidR="00312F2B">
        <w:rPr>
          <w:rFonts w:ascii="Calibri" w:hAnsi="Calibri" w:cs="Calibri"/>
          <w:sz w:val="22"/>
          <w:szCs w:val="22"/>
        </w:rPr>
        <w:t xml:space="preserve">do </w:t>
      </w:r>
      <w:r w:rsidR="00353676">
        <w:rPr>
          <w:rFonts w:ascii="Calibri" w:hAnsi="Calibri" w:cs="Calibri"/>
          <w:sz w:val="22"/>
          <w:szCs w:val="22"/>
        </w:rPr>
        <w:t>30 dnů ode dne účinnosti smlouvy</w:t>
      </w:r>
    </w:p>
    <w:p w14:paraId="7EE090A9" w14:textId="30885FA8" w:rsidR="00D06FDB" w:rsidRDefault="00312F2B" w:rsidP="00353676">
      <w:pPr>
        <w:spacing w:before="120" w:after="120"/>
        <w:ind w:left="708" w:firstLine="708"/>
        <w:jc w:val="both"/>
        <w:rPr>
          <w:rFonts w:ascii="Calibri" w:hAnsi="Calibri" w:cs="Calibri"/>
          <w:sz w:val="22"/>
          <w:szCs w:val="22"/>
        </w:rPr>
      </w:pPr>
      <w:r>
        <w:rPr>
          <w:rFonts w:ascii="Calibri" w:hAnsi="Calibri" w:cs="Calibri"/>
          <w:sz w:val="22"/>
          <w:szCs w:val="22"/>
        </w:rPr>
        <w:t xml:space="preserve">II. etapa: </w:t>
      </w:r>
      <w:r w:rsidR="00353676">
        <w:rPr>
          <w:rFonts w:ascii="Calibri" w:hAnsi="Calibri" w:cs="Calibri"/>
          <w:sz w:val="22"/>
          <w:szCs w:val="22"/>
        </w:rPr>
        <w:t xml:space="preserve">nejpozději </w:t>
      </w:r>
      <w:r>
        <w:rPr>
          <w:rFonts w:ascii="Calibri" w:hAnsi="Calibri" w:cs="Calibri"/>
          <w:sz w:val="22"/>
          <w:szCs w:val="22"/>
        </w:rPr>
        <w:t>do 30.06.2019.</w:t>
      </w:r>
    </w:p>
    <w:p w14:paraId="081AA938" w14:textId="77777777" w:rsidR="002A1846" w:rsidRPr="00F2068A" w:rsidRDefault="00D06FDB" w:rsidP="002A1846">
      <w:pPr>
        <w:spacing w:before="120" w:after="120"/>
        <w:jc w:val="both"/>
        <w:rPr>
          <w:rFonts w:asciiTheme="minorHAnsi" w:hAnsiTheme="minorHAnsi"/>
          <w:b/>
          <w:sz w:val="22"/>
          <w:szCs w:val="22"/>
        </w:rPr>
      </w:pPr>
      <w:r>
        <w:rPr>
          <w:rFonts w:asciiTheme="minorHAnsi" w:hAnsiTheme="minorHAnsi"/>
          <w:b/>
          <w:sz w:val="22"/>
          <w:szCs w:val="22"/>
        </w:rPr>
        <w:t xml:space="preserve">Technické podmínky </w:t>
      </w:r>
      <w:r w:rsidRPr="00D06FDB">
        <w:rPr>
          <w:rFonts w:asciiTheme="minorHAnsi" w:hAnsiTheme="minorHAnsi"/>
          <w:sz w:val="22"/>
          <w:szCs w:val="22"/>
        </w:rPr>
        <w:t xml:space="preserve">jsou </w:t>
      </w:r>
      <w:r>
        <w:rPr>
          <w:rFonts w:asciiTheme="minorHAnsi" w:hAnsiTheme="minorHAnsi"/>
          <w:sz w:val="22"/>
          <w:szCs w:val="22"/>
        </w:rPr>
        <w:t>uvedeny v přílohách k této zadávací dokumentaci.</w:t>
      </w:r>
    </w:p>
    <w:p w14:paraId="01DA8CB5" w14:textId="77777777" w:rsidR="001D5E25" w:rsidRPr="00F2068A" w:rsidRDefault="001D5E25" w:rsidP="001D5E25">
      <w:pPr>
        <w:spacing w:before="120" w:after="120"/>
        <w:jc w:val="both"/>
        <w:rPr>
          <w:rFonts w:asciiTheme="minorHAnsi" w:hAnsiTheme="minorHAnsi"/>
          <w:sz w:val="22"/>
          <w:szCs w:val="22"/>
        </w:rPr>
      </w:pPr>
      <w:r w:rsidRPr="00F2068A">
        <w:rPr>
          <w:rFonts w:asciiTheme="minorHAnsi" w:hAnsiTheme="minorHAnsi"/>
          <w:b/>
          <w:sz w:val="22"/>
          <w:szCs w:val="22"/>
        </w:rPr>
        <w:t>Obchodní podmínky</w:t>
      </w:r>
      <w:r w:rsidRPr="00F2068A">
        <w:rPr>
          <w:rFonts w:asciiTheme="minorHAnsi" w:hAnsiTheme="minorHAnsi"/>
          <w:sz w:val="22"/>
          <w:szCs w:val="22"/>
        </w:rPr>
        <w:t xml:space="preserve">, včetně platebních podmínek, jsou uvedeny v příloze ve formě textu smlouvy. </w:t>
      </w:r>
    </w:p>
    <w:p w14:paraId="2672ADAE" w14:textId="2AFF55D2" w:rsidR="005B547A" w:rsidRPr="005B547A" w:rsidRDefault="005B547A" w:rsidP="005B547A">
      <w:pPr>
        <w:spacing w:before="120" w:after="120"/>
        <w:jc w:val="both"/>
        <w:rPr>
          <w:rFonts w:asciiTheme="minorHAnsi" w:hAnsiTheme="minorHAnsi"/>
          <w:sz w:val="22"/>
          <w:szCs w:val="22"/>
        </w:rPr>
      </w:pPr>
      <w:r w:rsidRPr="005B547A">
        <w:rPr>
          <w:rFonts w:asciiTheme="minorHAnsi" w:hAnsiTheme="minorHAnsi"/>
          <w:sz w:val="22"/>
          <w:szCs w:val="22"/>
        </w:rPr>
        <w:t>Zadávací dokumentace byla vypracována společností Brněnské komunikace a.s., Renneská tř. 787/1a, 639 00 Brno, IČO: 607 33 098.</w:t>
      </w:r>
    </w:p>
    <w:p w14:paraId="3FD186AB" w14:textId="6103C371" w:rsidR="002A1846" w:rsidRPr="00F2068A" w:rsidRDefault="005B547A" w:rsidP="005B547A">
      <w:pPr>
        <w:spacing w:before="120" w:after="120"/>
        <w:jc w:val="both"/>
        <w:rPr>
          <w:rFonts w:asciiTheme="minorHAnsi" w:hAnsiTheme="minorHAnsi"/>
          <w:sz w:val="22"/>
          <w:szCs w:val="22"/>
        </w:rPr>
      </w:pPr>
      <w:r w:rsidRPr="005B547A">
        <w:rPr>
          <w:rFonts w:asciiTheme="minorHAnsi" w:hAnsiTheme="minorHAnsi"/>
          <w:sz w:val="22"/>
          <w:szCs w:val="22"/>
        </w:rPr>
        <w:t xml:space="preserve">Projektová dokumentace pro část 1. </w:t>
      </w:r>
      <w:r w:rsidRPr="005B547A">
        <w:rPr>
          <w:rFonts w:asciiTheme="minorHAnsi" w:hAnsiTheme="minorHAnsi"/>
          <w:bCs/>
          <w:sz w:val="22"/>
          <w:szCs w:val="22"/>
        </w:rPr>
        <w:t xml:space="preserve">- </w:t>
      </w:r>
      <w:r w:rsidRPr="005B547A">
        <w:rPr>
          <w:rFonts w:asciiTheme="minorHAnsi" w:hAnsiTheme="minorHAnsi"/>
          <w:sz w:val="22"/>
          <w:szCs w:val="22"/>
        </w:rPr>
        <w:t xml:space="preserve">SSZ 0.13 Koliště-Milady-Horákové byla zpracovaná společností </w:t>
      </w:r>
      <w:bookmarkStart w:id="3" w:name="_Hlk511024243"/>
      <w:r w:rsidRPr="005B547A">
        <w:rPr>
          <w:rFonts w:asciiTheme="minorHAnsi" w:hAnsiTheme="minorHAnsi"/>
          <w:bCs/>
          <w:sz w:val="22"/>
          <w:szCs w:val="22"/>
        </w:rPr>
        <w:t>VESELÝ DOPRAVNÍ SIGNALIZACE, s.r.o.</w:t>
      </w:r>
      <w:r w:rsidRPr="005B547A">
        <w:rPr>
          <w:rFonts w:asciiTheme="minorHAnsi" w:hAnsiTheme="minorHAnsi"/>
          <w:sz w:val="22"/>
          <w:szCs w:val="22"/>
        </w:rPr>
        <w:t xml:space="preserve">, Brno - Bosonohy, Bosonožské náměstí 1/2, PSČ 642 00, IČO: </w:t>
      </w:r>
      <w:bookmarkEnd w:id="3"/>
      <w:r w:rsidRPr="005B547A">
        <w:rPr>
          <w:rFonts w:asciiTheme="minorHAnsi" w:hAnsiTheme="minorHAnsi"/>
          <w:sz w:val="22"/>
          <w:szCs w:val="22"/>
        </w:rPr>
        <w:t>277</w:t>
      </w:r>
      <w:r>
        <w:rPr>
          <w:rFonts w:asciiTheme="minorHAnsi" w:hAnsiTheme="minorHAnsi"/>
          <w:sz w:val="22"/>
          <w:szCs w:val="22"/>
        </w:rPr>
        <w:t xml:space="preserve"> </w:t>
      </w:r>
      <w:r w:rsidRPr="005B547A">
        <w:rPr>
          <w:rFonts w:asciiTheme="minorHAnsi" w:hAnsiTheme="minorHAnsi"/>
          <w:sz w:val="22"/>
          <w:szCs w:val="22"/>
        </w:rPr>
        <w:t>02</w:t>
      </w:r>
      <w:r>
        <w:rPr>
          <w:rFonts w:asciiTheme="minorHAnsi" w:hAnsiTheme="minorHAnsi"/>
          <w:sz w:val="22"/>
          <w:szCs w:val="22"/>
        </w:rPr>
        <w:t xml:space="preserve"> </w:t>
      </w:r>
      <w:r w:rsidRPr="005B547A">
        <w:rPr>
          <w:rFonts w:asciiTheme="minorHAnsi" w:hAnsiTheme="minorHAnsi"/>
          <w:sz w:val="22"/>
          <w:szCs w:val="22"/>
        </w:rPr>
        <w:t xml:space="preserve">804, </w:t>
      </w:r>
      <w:r>
        <w:rPr>
          <w:rFonts w:asciiTheme="minorHAnsi" w:hAnsiTheme="minorHAnsi"/>
          <w:sz w:val="22"/>
          <w:szCs w:val="22"/>
        </w:rPr>
        <w:t>z 12.06.2018.</w:t>
      </w:r>
    </w:p>
    <w:p w14:paraId="64282004" w14:textId="77777777"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Kvalifikace</w:t>
      </w:r>
    </w:p>
    <w:p w14:paraId="726127BF" w14:textId="77777777" w:rsidR="002A1846" w:rsidRPr="00F2068A" w:rsidRDefault="002A1846" w:rsidP="002A1846">
      <w:pPr>
        <w:jc w:val="both"/>
        <w:rPr>
          <w:rFonts w:asciiTheme="minorHAnsi" w:hAnsiTheme="minorHAnsi"/>
          <w:b/>
          <w:sz w:val="22"/>
          <w:szCs w:val="22"/>
        </w:rPr>
      </w:pPr>
      <w:r w:rsidRPr="00F2068A">
        <w:rPr>
          <w:rFonts w:asciiTheme="minorHAnsi" w:hAnsiTheme="minorHAnsi"/>
          <w:sz w:val="22"/>
          <w:szCs w:val="22"/>
        </w:rPr>
        <w:t>Účastníci jsou povinni prokázat následující způsobilost a kvalifikaci tím, že předloží níže uvedené doklady.</w:t>
      </w:r>
    </w:p>
    <w:p w14:paraId="143EB29D" w14:textId="77777777" w:rsidR="002A1846" w:rsidRPr="00F2068A" w:rsidRDefault="002A1846" w:rsidP="002A1846">
      <w:pPr>
        <w:spacing w:before="120" w:after="120"/>
        <w:jc w:val="both"/>
        <w:rPr>
          <w:rFonts w:asciiTheme="minorHAnsi" w:hAnsiTheme="minorHAnsi"/>
          <w:b/>
          <w:sz w:val="22"/>
          <w:szCs w:val="22"/>
        </w:rPr>
      </w:pPr>
      <w:r w:rsidRPr="00F2068A">
        <w:rPr>
          <w:rFonts w:asciiTheme="minorHAnsi" w:hAnsiTheme="minorHAnsi"/>
          <w:b/>
          <w:sz w:val="22"/>
          <w:szCs w:val="22"/>
        </w:rPr>
        <w:t xml:space="preserve">Základní způsobilost </w:t>
      </w:r>
      <w:r w:rsidRPr="00F2068A">
        <w:rPr>
          <w:rFonts w:asciiTheme="minorHAnsi" w:hAnsiTheme="minorHAnsi"/>
          <w:b/>
          <w:bCs/>
          <w:sz w:val="22"/>
          <w:szCs w:val="22"/>
        </w:rPr>
        <w:t>(§ 74 ZZVZ)</w:t>
      </w:r>
    </w:p>
    <w:p w14:paraId="4456FDFD" w14:textId="5490D570" w:rsidR="00A84AFA" w:rsidRPr="00583F4A" w:rsidRDefault="00A84AFA" w:rsidP="00A84AFA">
      <w:pPr>
        <w:tabs>
          <w:tab w:val="num" w:pos="567"/>
        </w:tabs>
        <w:spacing w:before="120" w:after="120"/>
        <w:jc w:val="both"/>
        <w:rPr>
          <w:rFonts w:asciiTheme="minorHAnsi" w:hAnsiTheme="minorHAnsi" w:cstheme="minorHAnsi"/>
          <w:sz w:val="22"/>
          <w:szCs w:val="22"/>
        </w:rPr>
      </w:pPr>
      <w:r w:rsidRPr="00583F4A">
        <w:rPr>
          <w:rFonts w:asciiTheme="minorHAnsi" w:hAnsiTheme="minorHAnsi" w:cstheme="minorHAnsi"/>
          <w:sz w:val="22"/>
          <w:szCs w:val="22"/>
        </w:rPr>
        <w:t xml:space="preserve">Účastník prokáže základní způsobilost dle § 74 ZZVZ  předložením dokladů dle § 75 odst. 1 ZZVZ (Účastník může pro čestné prohlášení dle ustanovení § 75 odst. 1 písm. c), d) a f) použít formulář </w:t>
      </w:r>
      <w:r w:rsidR="004E2388">
        <w:rPr>
          <w:rFonts w:asciiTheme="minorHAnsi" w:hAnsiTheme="minorHAnsi" w:cstheme="minorHAnsi"/>
          <w:sz w:val="22"/>
          <w:szCs w:val="22"/>
        </w:rPr>
        <w:t xml:space="preserve">                          </w:t>
      </w:r>
      <w:r w:rsidRPr="00583F4A">
        <w:rPr>
          <w:rFonts w:asciiTheme="minorHAnsi" w:hAnsiTheme="minorHAnsi" w:cstheme="minorHAnsi"/>
          <w:sz w:val="22"/>
          <w:szCs w:val="22"/>
        </w:rPr>
        <w:t>v příloze č. 2 této zadávací dokumentace).</w:t>
      </w:r>
      <w:r>
        <w:rPr>
          <w:rFonts w:asciiTheme="minorHAnsi" w:hAnsiTheme="minorHAnsi" w:cstheme="minorHAnsi"/>
          <w:sz w:val="22"/>
          <w:szCs w:val="22"/>
        </w:rPr>
        <w:t xml:space="preserve"> </w:t>
      </w:r>
    </w:p>
    <w:p w14:paraId="585A9B4A" w14:textId="77777777" w:rsidR="002A1846" w:rsidRPr="00F2068A" w:rsidRDefault="002A1846" w:rsidP="002A1846">
      <w:pPr>
        <w:spacing w:before="120" w:after="120"/>
        <w:jc w:val="both"/>
        <w:rPr>
          <w:rFonts w:asciiTheme="minorHAnsi" w:hAnsiTheme="minorHAnsi"/>
          <w:b/>
          <w:sz w:val="22"/>
          <w:szCs w:val="22"/>
        </w:rPr>
      </w:pPr>
      <w:r w:rsidRPr="00F2068A">
        <w:rPr>
          <w:rFonts w:asciiTheme="minorHAnsi" w:hAnsiTheme="minorHAnsi"/>
          <w:b/>
          <w:sz w:val="22"/>
          <w:szCs w:val="22"/>
        </w:rPr>
        <w:t xml:space="preserve">Profesní způsobilost </w:t>
      </w:r>
      <w:r w:rsidRPr="00F2068A">
        <w:rPr>
          <w:rFonts w:asciiTheme="minorHAnsi" w:hAnsiTheme="minorHAnsi"/>
          <w:b/>
          <w:bCs/>
          <w:sz w:val="22"/>
          <w:szCs w:val="22"/>
        </w:rPr>
        <w:t>(§ 77 ZZVZ)</w:t>
      </w:r>
    </w:p>
    <w:p w14:paraId="2704518E" w14:textId="77777777" w:rsidR="002A1846" w:rsidRPr="00F2068A" w:rsidRDefault="002A1846" w:rsidP="002A1846">
      <w:pPr>
        <w:spacing w:before="120" w:after="120"/>
        <w:jc w:val="both"/>
        <w:rPr>
          <w:rFonts w:asciiTheme="minorHAnsi" w:hAnsiTheme="minorHAnsi"/>
          <w:b/>
          <w:sz w:val="22"/>
          <w:szCs w:val="22"/>
        </w:rPr>
      </w:pPr>
      <w:bookmarkStart w:id="4" w:name="_Hlk516668686"/>
      <w:r w:rsidRPr="00F2068A">
        <w:rPr>
          <w:rFonts w:asciiTheme="minorHAnsi" w:hAnsiTheme="minorHAnsi"/>
          <w:sz w:val="22"/>
          <w:szCs w:val="22"/>
        </w:rPr>
        <w:t>Účastníci jsou povinni prokázat profesní způsobilost dle ustanovení § 77 odst. 1 a 2 ZZVZ, a to předložením následujících dokladů:</w:t>
      </w:r>
    </w:p>
    <w:p w14:paraId="6BB98F19" w14:textId="77777777" w:rsidR="002A1846" w:rsidRPr="00F2068A" w:rsidRDefault="002A1846" w:rsidP="002A1846">
      <w:pPr>
        <w:numPr>
          <w:ilvl w:val="1"/>
          <w:numId w:val="4"/>
        </w:numPr>
        <w:tabs>
          <w:tab w:val="clear" w:pos="1440"/>
          <w:tab w:val="num" w:pos="284"/>
        </w:tabs>
        <w:spacing w:before="120" w:after="120"/>
        <w:ind w:left="284" w:hanging="284"/>
        <w:jc w:val="both"/>
        <w:rPr>
          <w:rFonts w:asciiTheme="minorHAnsi" w:hAnsiTheme="minorHAnsi"/>
          <w:b/>
          <w:sz w:val="22"/>
          <w:szCs w:val="22"/>
        </w:rPr>
      </w:pPr>
      <w:r w:rsidRPr="00F2068A">
        <w:rPr>
          <w:rFonts w:asciiTheme="minorHAnsi" w:hAnsiTheme="minorHAnsi"/>
          <w:sz w:val="22"/>
          <w:szCs w:val="22"/>
        </w:rPr>
        <w:t>Ve vztahu k České republice výpisem z obchodního rejstříku, včetně elektronické konverze, pokud je listina získána datovou schránkou, či výpisem z jiné obdobné evidence, pokud jiný právní předpis zápis do takové evidence vyžaduje;</w:t>
      </w:r>
    </w:p>
    <w:p w14:paraId="5F4EAC47" w14:textId="77777777" w:rsidR="00820B0F" w:rsidRPr="00527454" w:rsidRDefault="00820B0F" w:rsidP="00820B0F">
      <w:pPr>
        <w:numPr>
          <w:ilvl w:val="1"/>
          <w:numId w:val="4"/>
        </w:numPr>
        <w:tabs>
          <w:tab w:val="clear" w:pos="1440"/>
        </w:tabs>
        <w:autoSpaceDE w:val="0"/>
        <w:autoSpaceDN w:val="0"/>
        <w:adjustRightInd w:val="0"/>
        <w:spacing w:before="120" w:after="120"/>
        <w:ind w:left="284" w:hanging="284"/>
        <w:jc w:val="both"/>
        <w:rPr>
          <w:rFonts w:asciiTheme="minorHAnsi" w:hAnsiTheme="minorHAnsi" w:cstheme="minorHAnsi"/>
          <w:sz w:val="22"/>
          <w:szCs w:val="22"/>
        </w:rPr>
      </w:pPr>
      <w:r w:rsidRPr="00527454">
        <w:rPr>
          <w:rFonts w:asciiTheme="minorHAnsi" w:hAnsiTheme="minorHAnsi" w:cstheme="minorHAnsi"/>
          <w:sz w:val="22"/>
          <w:szCs w:val="22"/>
        </w:rPr>
        <w:t>Doklad o oprávnění k podnikání podle zvláštních právních předpisů, v rozsahu odpovídajícím předmětu veřejné zakázky, pokud jiné právní předpisy takové oprávnění vyžadují, tj. doklad prokazující živnostenské oprávnění v oboru:</w:t>
      </w:r>
    </w:p>
    <w:p w14:paraId="6833FDFA" w14:textId="51E41582" w:rsidR="00820B0F" w:rsidRDefault="00820B0F" w:rsidP="00820B0F">
      <w:pPr>
        <w:numPr>
          <w:ilvl w:val="5"/>
          <w:numId w:val="4"/>
        </w:numPr>
        <w:tabs>
          <w:tab w:val="clear" w:pos="4320"/>
          <w:tab w:val="num" w:pos="567"/>
          <w:tab w:val="num" w:pos="1134"/>
        </w:tabs>
        <w:ind w:left="1135" w:hanging="284"/>
        <w:jc w:val="both"/>
        <w:rPr>
          <w:rFonts w:asciiTheme="minorHAnsi" w:hAnsiTheme="minorHAnsi" w:cstheme="minorHAnsi"/>
          <w:sz w:val="22"/>
          <w:szCs w:val="22"/>
        </w:rPr>
      </w:pPr>
      <w:r>
        <w:rPr>
          <w:rFonts w:asciiTheme="minorHAnsi" w:hAnsiTheme="minorHAnsi" w:cstheme="minorHAnsi"/>
          <w:sz w:val="22"/>
          <w:szCs w:val="22"/>
        </w:rPr>
        <w:t>přípravné a dokončovací stavební práce, specializované stavební činnosti,</w:t>
      </w:r>
    </w:p>
    <w:p w14:paraId="3619F04C" w14:textId="6AD7B528" w:rsidR="00820B0F" w:rsidRDefault="00820B0F" w:rsidP="00820B0F">
      <w:pPr>
        <w:numPr>
          <w:ilvl w:val="5"/>
          <w:numId w:val="4"/>
        </w:numPr>
        <w:tabs>
          <w:tab w:val="clear" w:pos="4320"/>
          <w:tab w:val="num" w:pos="567"/>
          <w:tab w:val="num" w:pos="1134"/>
        </w:tabs>
        <w:ind w:left="1135" w:hanging="284"/>
        <w:jc w:val="both"/>
        <w:rPr>
          <w:rFonts w:asciiTheme="minorHAnsi" w:hAnsiTheme="minorHAnsi" w:cstheme="minorHAnsi"/>
          <w:sz w:val="22"/>
          <w:szCs w:val="22"/>
        </w:rPr>
      </w:pPr>
      <w:r w:rsidRPr="00820B0F">
        <w:rPr>
          <w:rFonts w:asciiTheme="minorHAnsi" w:hAnsiTheme="minorHAnsi" w:cstheme="minorHAnsi"/>
          <w:sz w:val="22"/>
          <w:szCs w:val="22"/>
        </w:rPr>
        <w:lastRenderedPageBreak/>
        <w:t>montáž, opravy, revize a zkoušky elektrických zařízení nebo výroba, instalace, opravy elektrických strojů a přístrojů, elektronických a telekomunikačních zařízení</w:t>
      </w:r>
      <w:bookmarkEnd w:id="4"/>
      <w:r>
        <w:rPr>
          <w:rFonts w:asciiTheme="minorHAnsi" w:hAnsiTheme="minorHAnsi" w:cstheme="minorHAnsi"/>
          <w:sz w:val="22"/>
          <w:szCs w:val="22"/>
        </w:rPr>
        <w:t>.</w:t>
      </w:r>
    </w:p>
    <w:p w14:paraId="29A719A7" w14:textId="52D47A74" w:rsidR="002A1846" w:rsidRPr="00F2068A" w:rsidRDefault="002A1846" w:rsidP="00A065C2">
      <w:pPr>
        <w:tabs>
          <w:tab w:val="num" w:pos="0"/>
        </w:tabs>
        <w:spacing w:before="120" w:after="120"/>
        <w:jc w:val="both"/>
        <w:rPr>
          <w:rFonts w:asciiTheme="minorHAnsi" w:hAnsiTheme="minorHAnsi"/>
          <w:b/>
          <w:sz w:val="22"/>
          <w:szCs w:val="22"/>
        </w:rPr>
      </w:pPr>
      <w:r w:rsidRPr="00F2068A">
        <w:rPr>
          <w:rFonts w:asciiTheme="minorHAnsi" w:hAnsiTheme="minorHAnsi"/>
          <w:b/>
          <w:sz w:val="22"/>
          <w:szCs w:val="22"/>
        </w:rPr>
        <w:t>Prokazování způsobilosti a kvalifikace</w:t>
      </w:r>
    </w:p>
    <w:p w14:paraId="0A8FD691" w14:textId="77777777" w:rsidR="002A1846" w:rsidRPr="00F2068A" w:rsidRDefault="002A1846" w:rsidP="002A1846">
      <w:pPr>
        <w:tabs>
          <w:tab w:val="num" w:pos="0"/>
          <w:tab w:val="num" w:pos="567"/>
        </w:tabs>
        <w:spacing w:before="120" w:after="120"/>
        <w:jc w:val="both"/>
        <w:rPr>
          <w:rFonts w:asciiTheme="minorHAnsi" w:hAnsiTheme="minorHAnsi"/>
          <w:sz w:val="22"/>
          <w:szCs w:val="22"/>
        </w:rPr>
      </w:pPr>
      <w:r w:rsidRPr="00F2068A">
        <w:rPr>
          <w:rFonts w:asciiTheme="minorHAnsi" w:hAnsiTheme="minorHAnsi"/>
          <w:sz w:val="22"/>
          <w:szCs w:val="22"/>
        </w:rPr>
        <w:t xml:space="preserve">Kvalifikaci a způsobilost lze rovněž nahradit čestným prohlášením (vzor čestného prohlášení je uveden v příloze </w:t>
      </w:r>
      <w:r w:rsidRPr="00911E4E">
        <w:rPr>
          <w:rFonts w:asciiTheme="minorHAnsi" w:hAnsiTheme="minorHAnsi"/>
          <w:sz w:val="22"/>
          <w:szCs w:val="22"/>
        </w:rPr>
        <w:t xml:space="preserve">č. </w:t>
      </w:r>
      <w:r w:rsidR="00911E4E" w:rsidRPr="00911E4E">
        <w:rPr>
          <w:rFonts w:asciiTheme="minorHAnsi" w:hAnsiTheme="minorHAnsi"/>
          <w:sz w:val="22"/>
          <w:szCs w:val="22"/>
        </w:rPr>
        <w:t>2</w:t>
      </w:r>
      <w:r w:rsidRPr="00F2068A">
        <w:rPr>
          <w:rFonts w:asciiTheme="minorHAnsi" w:hAnsiTheme="minorHAnsi"/>
          <w:sz w:val="22"/>
          <w:szCs w:val="22"/>
        </w:rPr>
        <w:t xml:space="preserve"> zadávací dokumentace) v rozsahu, ve kterém zapsané údaje pokrývají požadavky zadavatele, nebo jednotným evropským osvědčením (zejména §87 ZZVZ). Dodavatel předloží zadavateli na jeho žádost originály nebo ověřené kopie dokladů o zadavatelem požadované kvalifikaci, pokud již nebyly v zadávacím řízení předloženy. </w:t>
      </w:r>
    </w:p>
    <w:p w14:paraId="4B27234F" w14:textId="77777777" w:rsidR="002A1846" w:rsidRPr="00F2068A" w:rsidRDefault="002A1846" w:rsidP="002A1846">
      <w:pPr>
        <w:tabs>
          <w:tab w:val="num" w:pos="0"/>
          <w:tab w:val="num" w:pos="567"/>
        </w:tabs>
        <w:spacing w:before="120" w:after="120"/>
        <w:jc w:val="both"/>
        <w:rPr>
          <w:rFonts w:asciiTheme="minorHAnsi" w:hAnsiTheme="minorHAnsi"/>
          <w:sz w:val="22"/>
          <w:szCs w:val="22"/>
        </w:rPr>
      </w:pPr>
      <w:r w:rsidRPr="00F2068A">
        <w:rPr>
          <w:rFonts w:asciiTheme="minorHAnsi" w:hAnsiTheme="minorHAnsi"/>
          <w:sz w:val="22"/>
          <w:szCs w:val="22"/>
        </w:rPr>
        <w:t xml:space="preserve">Kvalifikaci a způsobilost lze také prokázat výpisem ze systému certifikovaných dodavatelů (zejména             § 234 ZZVZ), či výpisem ze seznamu kvalifikovaných dodavatelů (zejména § 228 ZZVZ) nebo v souladu s §45 odst. 4 ZZVZ. </w:t>
      </w:r>
    </w:p>
    <w:p w14:paraId="3782751A" w14:textId="0F63ABA8" w:rsidR="00902E85" w:rsidRPr="00583F4A" w:rsidRDefault="00902E85" w:rsidP="00902E85">
      <w:pPr>
        <w:tabs>
          <w:tab w:val="num" w:pos="0"/>
          <w:tab w:val="num" w:pos="567"/>
        </w:tabs>
        <w:spacing w:before="120" w:after="120"/>
        <w:jc w:val="both"/>
        <w:rPr>
          <w:rFonts w:asciiTheme="minorHAnsi" w:hAnsiTheme="minorHAnsi" w:cstheme="minorHAnsi"/>
          <w:sz w:val="22"/>
          <w:szCs w:val="22"/>
        </w:rPr>
      </w:pPr>
      <w:r w:rsidRPr="00583F4A">
        <w:rPr>
          <w:rFonts w:asciiTheme="minorHAnsi" w:hAnsiTheme="minorHAnsi" w:cstheme="minorHAnsi"/>
          <w:sz w:val="22"/>
          <w:szCs w:val="22"/>
        </w:rPr>
        <w:t xml:space="preserve">Účastník je oprávněn prokázat kvalifikaci prostřednictvím jiných osob, a to způsobem uvedeným v </w:t>
      </w:r>
      <w:r w:rsidR="00FD1FCB">
        <w:rPr>
          <w:rFonts w:asciiTheme="minorHAnsi" w:hAnsiTheme="minorHAnsi" w:cstheme="minorHAnsi"/>
          <w:sz w:val="22"/>
          <w:szCs w:val="22"/>
        </w:rPr>
        <w:t xml:space="preserve">    </w:t>
      </w:r>
      <w:r w:rsidR="004E2388">
        <w:rPr>
          <w:rFonts w:asciiTheme="minorHAnsi" w:hAnsiTheme="minorHAnsi" w:cstheme="minorHAnsi"/>
          <w:sz w:val="22"/>
          <w:szCs w:val="22"/>
        </w:rPr>
        <w:t xml:space="preserve">              </w:t>
      </w:r>
      <w:r w:rsidRPr="00583F4A">
        <w:rPr>
          <w:rFonts w:asciiTheme="minorHAnsi" w:hAnsiTheme="minorHAnsi" w:cstheme="minorHAnsi"/>
          <w:sz w:val="22"/>
          <w:szCs w:val="22"/>
        </w:rPr>
        <w:t>§ 83 ZZVZ – základní způsobilost dle ustanovení § 74 ZZVZ prokáže účastník dle § 75 odst. 1 ZZVZ; pro jinou osobu může použít čestné prohlášení dle přílohy č. 2 zadávací dokumentace (čestné prohlášení pro prokázání základní způsobilosti dle § 75 odst. 1 písm. c), d) a f).</w:t>
      </w:r>
    </w:p>
    <w:p w14:paraId="22D33366" w14:textId="77777777" w:rsidR="002A1846" w:rsidRPr="00F2068A" w:rsidRDefault="002A1846" w:rsidP="002A1846">
      <w:pPr>
        <w:tabs>
          <w:tab w:val="num" w:pos="0"/>
          <w:tab w:val="num" w:pos="567"/>
        </w:tabs>
        <w:spacing w:before="120" w:after="120"/>
        <w:jc w:val="both"/>
        <w:rPr>
          <w:rFonts w:asciiTheme="minorHAnsi" w:hAnsiTheme="minorHAnsi"/>
          <w:sz w:val="22"/>
          <w:szCs w:val="22"/>
        </w:rPr>
      </w:pPr>
      <w:r w:rsidRPr="00F2068A">
        <w:rPr>
          <w:rFonts w:asciiTheme="minorHAnsi" w:hAnsiTheme="minorHAnsi"/>
          <w:sz w:val="22"/>
          <w:szCs w:val="22"/>
        </w:rPr>
        <w:t xml:space="preserve">Veřejná zakázka může být plněna více dodavateli současně; v takovém případě předloží dodavatelé společnou nabídku v souladu zejména s § 82 ZZVZ. </w:t>
      </w:r>
    </w:p>
    <w:p w14:paraId="0528A21E" w14:textId="77777777" w:rsidR="004E2388" w:rsidRPr="00F2068A" w:rsidRDefault="004E2388" w:rsidP="002A1846">
      <w:pPr>
        <w:tabs>
          <w:tab w:val="num" w:pos="0"/>
          <w:tab w:val="num" w:pos="567"/>
        </w:tabs>
        <w:spacing w:before="120" w:after="120"/>
        <w:jc w:val="both"/>
        <w:rPr>
          <w:rFonts w:asciiTheme="minorHAnsi" w:hAnsiTheme="minorHAnsi"/>
          <w:sz w:val="22"/>
          <w:szCs w:val="22"/>
        </w:rPr>
      </w:pPr>
    </w:p>
    <w:p w14:paraId="704FC5FE" w14:textId="77777777" w:rsidR="002A1846" w:rsidRPr="00F2068A" w:rsidRDefault="002A1846" w:rsidP="002A1846">
      <w:pPr>
        <w:numPr>
          <w:ilvl w:val="0"/>
          <w:numId w:val="4"/>
        </w:numPr>
        <w:tabs>
          <w:tab w:val="clear" w:pos="7808"/>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 xml:space="preserve">Procesní postup hodnocení nabídek, posouzení způsobilosti a kvalifikace a posouzení nabídek </w:t>
      </w:r>
    </w:p>
    <w:p w14:paraId="3F6BA227" w14:textId="77777777" w:rsidR="002A1846" w:rsidRPr="00F2068A" w:rsidRDefault="002A1846" w:rsidP="002A1846">
      <w:pPr>
        <w:tabs>
          <w:tab w:val="num" w:pos="0"/>
          <w:tab w:val="num" w:pos="567"/>
        </w:tabs>
        <w:spacing w:before="120" w:after="120"/>
        <w:jc w:val="both"/>
        <w:rPr>
          <w:rFonts w:asciiTheme="minorHAnsi" w:hAnsiTheme="minorHAnsi"/>
          <w:sz w:val="22"/>
          <w:szCs w:val="22"/>
        </w:rPr>
      </w:pPr>
      <w:r w:rsidRPr="00F2068A">
        <w:rPr>
          <w:rFonts w:asciiTheme="minorHAnsi" w:hAnsiTheme="minorHAnsi"/>
          <w:sz w:val="22"/>
          <w:szCs w:val="22"/>
        </w:rPr>
        <w:t>Otevírání obálek, hodnocení nabídek, posouzení prokázání způsobilosti a kvalifikace a posouzení nabídky bude prováděno komisí, jmenovanou zadavatelem. Zadavatel při svých rozhodnutích ve věci veřejné zakázky přihlíží k doporučení komise.</w:t>
      </w:r>
    </w:p>
    <w:p w14:paraId="1F3875D5" w14:textId="1C03F4B1" w:rsidR="002A1846" w:rsidRPr="00F2068A" w:rsidRDefault="002A1846" w:rsidP="002A1846">
      <w:pPr>
        <w:tabs>
          <w:tab w:val="num" w:pos="0"/>
          <w:tab w:val="num" w:pos="567"/>
        </w:tabs>
        <w:spacing w:before="120" w:after="120"/>
        <w:jc w:val="both"/>
        <w:rPr>
          <w:rFonts w:asciiTheme="minorHAnsi" w:hAnsiTheme="minorHAnsi"/>
          <w:sz w:val="22"/>
          <w:szCs w:val="22"/>
        </w:rPr>
      </w:pPr>
      <w:r w:rsidRPr="00F2068A">
        <w:rPr>
          <w:rFonts w:asciiTheme="minorHAnsi" w:hAnsiTheme="minorHAnsi"/>
          <w:sz w:val="22"/>
          <w:szCs w:val="22"/>
        </w:rPr>
        <w:t xml:space="preserve">Po otevírání obálek provede komise hodnocení nabídek, o čemž bude v souladu se ZZVZ pořízena písemná zpráva o hodnocení. </w:t>
      </w:r>
      <w:r w:rsidR="00543A06" w:rsidRPr="00543A06">
        <w:rPr>
          <w:rFonts w:asciiTheme="minorHAnsi" w:hAnsiTheme="minorHAnsi"/>
          <w:sz w:val="22"/>
          <w:szCs w:val="22"/>
        </w:rPr>
        <w:t xml:space="preserve">U nabídky, která se na základě hodnocení umístí na prvním místě </w:t>
      </w:r>
      <w:r w:rsidR="00543A06">
        <w:rPr>
          <w:rFonts w:asciiTheme="minorHAnsi" w:hAnsiTheme="minorHAnsi"/>
          <w:sz w:val="22"/>
          <w:szCs w:val="22"/>
        </w:rPr>
        <w:t xml:space="preserve">v </w:t>
      </w:r>
      <w:r w:rsidR="00543A06" w:rsidRPr="00543A06">
        <w:rPr>
          <w:rFonts w:asciiTheme="minorHAnsi" w:hAnsiTheme="minorHAnsi"/>
          <w:sz w:val="22"/>
          <w:szCs w:val="22"/>
        </w:rPr>
        <w:t xml:space="preserve">pořadí dle níže uvedených hodnotících kritérií, bude následně provedeno posouzení prokázání kvalifikace a posouzení nabídky, zda splňuje požadavky stanovené ZZVZ a zadávacími podmínkami. </w:t>
      </w:r>
      <w:r w:rsidRPr="00F2068A">
        <w:rPr>
          <w:rFonts w:asciiTheme="minorHAnsi" w:hAnsiTheme="minorHAnsi"/>
          <w:sz w:val="22"/>
          <w:szCs w:val="22"/>
        </w:rPr>
        <w:t xml:space="preserve"> Komise v případě, že zjistí, že nejsou splněny podmínky pro účast v zadávacím řízení či že není prokázána způsobilost</w:t>
      </w:r>
      <w:r w:rsidR="00602870">
        <w:rPr>
          <w:rFonts w:asciiTheme="minorHAnsi" w:hAnsiTheme="minorHAnsi"/>
          <w:sz w:val="22"/>
          <w:szCs w:val="22"/>
        </w:rPr>
        <w:t xml:space="preserve"> </w:t>
      </w:r>
      <w:r w:rsidRPr="00F2068A">
        <w:rPr>
          <w:rFonts w:asciiTheme="minorHAnsi" w:hAnsiTheme="minorHAnsi"/>
          <w:sz w:val="22"/>
          <w:szCs w:val="22"/>
        </w:rPr>
        <w:t>a kvalifikace účastníka nebo zjistí nejasnosti v nabídce, může požádat, aby účastník zadávacího řízení v přiměřené lhůtě objasnil předložené údaje, doklady nebo doplnil další nebo chybějící údaje či doklady (§ 46 ZZVZ). V případě mimořádné nízké nabídkové ceny bude postupováno v souladu s § 113 ZZVZ.</w:t>
      </w:r>
    </w:p>
    <w:p w14:paraId="540D20AE" w14:textId="77777777" w:rsidR="002A1846" w:rsidRPr="00F2068A" w:rsidRDefault="002A1846" w:rsidP="002A1846">
      <w:pPr>
        <w:tabs>
          <w:tab w:val="num" w:pos="0"/>
          <w:tab w:val="num" w:pos="567"/>
        </w:tabs>
        <w:spacing w:before="120" w:after="120"/>
        <w:jc w:val="both"/>
        <w:rPr>
          <w:rFonts w:asciiTheme="minorHAnsi" w:hAnsiTheme="minorHAnsi"/>
          <w:sz w:val="22"/>
          <w:szCs w:val="22"/>
        </w:rPr>
      </w:pPr>
      <w:r w:rsidRPr="00F2068A">
        <w:rPr>
          <w:rFonts w:asciiTheme="minorHAnsi" w:hAnsiTheme="minorHAnsi"/>
          <w:sz w:val="22"/>
          <w:szCs w:val="22"/>
        </w:rPr>
        <w:t>V případě, že vyzvaný účastník zadávacího řízení nedoplní požadované doklady či informace či nevysvětlí nejasnosti v nabídce nebo nezdůvodní způsob stanovení mimořádně nízké nabídkové ceny případně v dalších případech uvedených v ZZVZ, bude doporučeno komisí zadavateli vyloučit účastníka z další účasti v zadávacím řízení.</w:t>
      </w:r>
    </w:p>
    <w:p w14:paraId="16AB84D0" w14:textId="77777777" w:rsidR="008B0359" w:rsidRDefault="008B0359" w:rsidP="002A1846">
      <w:pPr>
        <w:tabs>
          <w:tab w:val="num" w:pos="0"/>
          <w:tab w:val="num" w:pos="567"/>
        </w:tabs>
        <w:spacing w:before="120" w:after="120"/>
        <w:jc w:val="both"/>
        <w:rPr>
          <w:rFonts w:asciiTheme="minorHAnsi" w:hAnsiTheme="minorHAnsi"/>
          <w:sz w:val="22"/>
          <w:szCs w:val="22"/>
        </w:rPr>
      </w:pPr>
      <w:r w:rsidRPr="00583F4A">
        <w:rPr>
          <w:rFonts w:asciiTheme="minorHAnsi" w:hAnsiTheme="minorHAnsi" w:cstheme="minorHAnsi"/>
          <w:sz w:val="22"/>
          <w:szCs w:val="22"/>
        </w:rPr>
        <w:t xml:space="preserve">V případě vyloučení účastníka zadávacího řízení z další účasti v zadávacím řízení popsaném výše, provede komise nové hodnocení nabídek. U nabídky, která se na základě nového hodnocení umístí na prvním místě pořadí, bude následně provedeno posouzení prokázání způsobilosti a kvalifikace a posouzení nabídky, zda splňuje všechny požadavky stanovené ZZVZ a zadávacími podmínkami.  V případě, že ani tento účastník zadávacího řízení nedoplní požadované doklady či informace či nevysvětlí nejasnosti v nabídce nebo nezdůvodnění způsob stanovení mimořádné nízké nabídkové ceny v případě v dalších případech uvedených v ZZVZ , bude postupováno stejným způsobem </w:t>
      </w:r>
      <w:r w:rsidRPr="00583F4A">
        <w:rPr>
          <w:rFonts w:asciiTheme="minorHAnsi" w:hAnsiTheme="minorHAnsi" w:cstheme="minorHAnsi"/>
          <w:sz w:val="22"/>
          <w:szCs w:val="22"/>
        </w:rPr>
        <w:lastRenderedPageBreak/>
        <w:t>popsaným výše. Pokud účastník, jehož nabídka se umístila na prvním místě pořadí, splnil všechny předpoklady pro účast v zadávacím řízení, rozhodne zadavatel o výběru dodavatele.</w:t>
      </w:r>
    </w:p>
    <w:p w14:paraId="4D12CB9F" w14:textId="149F1D02" w:rsidR="002A1846" w:rsidRDefault="002A1846" w:rsidP="002A1846">
      <w:pPr>
        <w:tabs>
          <w:tab w:val="num" w:pos="0"/>
          <w:tab w:val="num" w:pos="567"/>
        </w:tabs>
        <w:spacing w:before="120" w:after="120"/>
        <w:jc w:val="both"/>
        <w:rPr>
          <w:rFonts w:asciiTheme="minorHAnsi" w:hAnsiTheme="minorHAnsi"/>
          <w:sz w:val="22"/>
          <w:szCs w:val="22"/>
        </w:rPr>
      </w:pPr>
      <w:r w:rsidRPr="00F2068A">
        <w:rPr>
          <w:rFonts w:asciiTheme="minorHAnsi" w:hAnsiTheme="minorHAnsi"/>
          <w:sz w:val="22"/>
          <w:szCs w:val="22"/>
        </w:rPr>
        <w:t>Účastník zadávacího řízení vyzvaný k uzavření smlouvy se považuje za vybraného dodavatele.</w:t>
      </w:r>
    </w:p>
    <w:p w14:paraId="37288B9A" w14:textId="77777777" w:rsidR="005B547A" w:rsidRPr="00F2068A" w:rsidRDefault="005B547A" w:rsidP="002A1846">
      <w:pPr>
        <w:tabs>
          <w:tab w:val="num" w:pos="0"/>
          <w:tab w:val="num" w:pos="567"/>
        </w:tabs>
        <w:spacing w:before="120" w:after="120"/>
        <w:jc w:val="both"/>
        <w:rPr>
          <w:rFonts w:asciiTheme="minorHAnsi" w:hAnsiTheme="minorHAnsi"/>
          <w:sz w:val="22"/>
          <w:szCs w:val="22"/>
        </w:rPr>
      </w:pPr>
    </w:p>
    <w:p w14:paraId="40A5AE8D" w14:textId="77777777"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Hodnocení</w:t>
      </w:r>
    </w:p>
    <w:p w14:paraId="7541DB4C" w14:textId="77777777" w:rsidR="00237A56" w:rsidRPr="00237A56" w:rsidRDefault="00237A56" w:rsidP="00237A56">
      <w:pPr>
        <w:spacing w:before="240" w:after="60" w:line="276" w:lineRule="auto"/>
        <w:jc w:val="both"/>
        <w:outlineLvl w:val="2"/>
        <w:rPr>
          <w:rFonts w:ascii="Calibri" w:eastAsia="Calibri" w:hAnsi="Calibri" w:cs="Calibri"/>
          <w:bCs/>
          <w:sz w:val="22"/>
          <w:szCs w:val="22"/>
          <w:lang w:eastAsia="en-US"/>
        </w:rPr>
      </w:pPr>
      <w:bookmarkStart w:id="5" w:name="_Hlk516668760"/>
      <w:r w:rsidRPr="00237A56">
        <w:rPr>
          <w:rFonts w:ascii="Calibri" w:eastAsia="Calibri" w:hAnsi="Calibri" w:cs="Calibri"/>
          <w:bCs/>
          <w:sz w:val="22"/>
          <w:szCs w:val="22"/>
          <w:lang w:eastAsia="en-US"/>
        </w:rPr>
        <w:t xml:space="preserve">Základním kritériem pro zadání veřejné zakázky je </w:t>
      </w:r>
      <w:r w:rsidRPr="00237A56">
        <w:rPr>
          <w:rFonts w:ascii="Calibri" w:eastAsia="Calibri" w:hAnsi="Calibri" w:cs="Calibri"/>
          <w:b/>
          <w:bCs/>
          <w:sz w:val="22"/>
          <w:szCs w:val="22"/>
          <w:lang w:eastAsia="en-US"/>
        </w:rPr>
        <w:t>ekonomická výhodnost nabídek dle  § 114 zákona</w:t>
      </w:r>
      <w:r w:rsidRPr="00237A56">
        <w:rPr>
          <w:rFonts w:ascii="Calibri" w:eastAsia="Calibri" w:hAnsi="Calibri" w:cs="Calibri"/>
          <w:bCs/>
          <w:sz w:val="22"/>
          <w:szCs w:val="22"/>
          <w:lang w:eastAsia="en-US"/>
        </w:rPr>
        <w:t xml:space="preserve">. Ekonomická výhodnost nabídek bude hodnocena na základě jediného kritéria a to podle </w:t>
      </w:r>
      <w:r w:rsidRPr="00237A56">
        <w:rPr>
          <w:rFonts w:ascii="Calibri" w:eastAsia="Calibri" w:hAnsi="Calibri" w:cs="Calibri"/>
          <w:b/>
          <w:bCs/>
          <w:sz w:val="22"/>
          <w:szCs w:val="22"/>
          <w:lang w:eastAsia="en-US"/>
        </w:rPr>
        <w:t>nejnižší nabídkové ceny bez DPH</w:t>
      </w:r>
      <w:r w:rsidRPr="00237A56">
        <w:rPr>
          <w:rFonts w:ascii="Calibri" w:eastAsia="Calibri" w:hAnsi="Calibri" w:cs="Calibri"/>
          <w:bCs/>
          <w:sz w:val="22"/>
          <w:szCs w:val="22"/>
          <w:lang w:eastAsia="en-US"/>
        </w:rPr>
        <w:t>. Toto kritérium tak bude mít v hodnocení váhu 100%.</w:t>
      </w:r>
    </w:p>
    <w:p w14:paraId="7A86F129" w14:textId="2FACDEF7" w:rsidR="00237A56" w:rsidRPr="00237A56" w:rsidRDefault="00237A56" w:rsidP="00237A56">
      <w:pPr>
        <w:spacing w:before="240" w:after="60" w:line="276" w:lineRule="auto"/>
        <w:jc w:val="both"/>
        <w:outlineLvl w:val="2"/>
        <w:rPr>
          <w:rFonts w:ascii="Cambria" w:eastAsia="Calibri" w:hAnsi="Cambria"/>
          <w:bCs/>
          <w:sz w:val="22"/>
          <w:szCs w:val="22"/>
          <w:lang w:eastAsia="en-US"/>
        </w:rPr>
      </w:pPr>
      <w:r w:rsidRPr="00237A56">
        <w:rPr>
          <w:rFonts w:ascii="Calibri" w:eastAsia="Calibri" w:hAnsi="Calibri" w:cs="Calibri"/>
          <w:bCs/>
          <w:sz w:val="22"/>
          <w:szCs w:val="22"/>
          <w:lang w:eastAsia="en-US"/>
        </w:rPr>
        <w:t>Hodnotící komise stanoví pořadí jednotlivých nabídek tak, že jako nejúspěšnější bude stanovena nabídka s nejnižší nabídkovou cenou bez DPH</w:t>
      </w:r>
      <w:bookmarkEnd w:id="5"/>
      <w:r w:rsidRPr="00237A56">
        <w:rPr>
          <w:rFonts w:ascii="Cambria" w:eastAsia="Calibri" w:hAnsi="Cambria"/>
          <w:bCs/>
          <w:sz w:val="22"/>
          <w:szCs w:val="22"/>
          <w:lang w:eastAsia="en-US"/>
        </w:rPr>
        <w:t>.</w:t>
      </w:r>
    </w:p>
    <w:p w14:paraId="4A2E0D69" w14:textId="77777777" w:rsidR="009B3308" w:rsidRPr="00F2068A" w:rsidRDefault="009B3308" w:rsidP="002A1846">
      <w:pPr>
        <w:spacing w:before="120" w:after="120"/>
        <w:jc w:val="both"/>
        <w:rPr>
          <w:rFonts w:asciiTheme="minorHAnsi" w:hAnsiTheme="minorHAnsi"/>
          <w:b/>
          <w:bCs/>
          <w:iCs/>
          <w:sz w:val="22"/>
          <w:szCs w:val="22"/>
        </w:rPr>
      </w:pPr>
    </w:p>
    <w:p w14:paraId="63C545D7" w14:textId="77777777"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Návrh smlouvy o dílo</w:t>
      </w:r>
    </w:p>
    <w:p w14:paraId="22153B00" w14:textId="1AE44001" w:rsidR="00A114BF" w:rsidRPr="00583F4A" w:rsidRDefault="00A114BF" w:rsidP="00A114BF">
      <w:pPr>
        <w:jc w:val="both"/>
        <w:rPr>
          <w:rFonts w:asciiTheme="minorHAnsi" w:hAnsiTheme="minorHAnsi" w:cstheme="minorHAnsi"/>
          <w:sz w:val="22"/>
          <w:szCs w:val="22"/>
        </w:rPr>
      </w:pPr>
      <w:r w:rsidRPr="00583F4A">
        <w:rPr>
          <w:rFonts w:asciiTheme="minorHAnsi" w:hAnsiTheme="minorHAnsi" w:cstheme="minorHAnsi"/>
          <w:b/>
          <w:sz w:val="22"/>
          <w:szCs w:val="22"/>
          <w:u w:val="single"/>
        </w:rPr>
        <w:t xml:space="preserve">Návrh smlouvy musí být </w:t>
      </w:r>
      <w:r w:rsidRPr="009C4341">
        <w:rPr>
          <w:rFonts w:asciiTheme="minorHAnsi" w:hAnsiTheme="minorHAnsi" w:cstheme="minorHAnsi"/>
          <w:b/>
          <w:sz w:val="22"/>
          <w:szCs w:val="22"/>
          <w:u w:val="single"/>
        </w:rPr>
        <w:t xml:space="preserve">předložen a podepsán osobou oprávněnou zastupovat </w:t>
      </w:r>
      <w:r w:rsidR="004E2388">
        <w:rPr>
          <w:rFonts w:asciiTheme="minorHAnsi" w:hAnsiTheme="minorHAnsi" w:cstheme="minorHAnsi"/>
          <w:b/>
          <w:sz w:val="22"/>
          <w:szCs w:val="22"/>
          <w:u w:val="single"/>
        </w:rPr>
        <w:t>ú</w:t>
      </w:r>
      <w:r w:rsidRPr="009C4341">
        <w:rPr>
          <w:rFonts w:asciiTheme="minorHAnsi" w:hAnsiTheme="minorHAnsi" w:cstheme="minorHAnsi"/>
          <w:b/>
          <w:sz w:val="22"/>
          <w:szCs w:val="22"/>
          <w:u w:val="single"/>
        </w:rPr>
        <w:t>častníka včetně příloh, které budou úplné včetně</w:t>
      </w:r>
      <w:r w:rsidRPr="00583F4A">
        <w:rPr>
          <w:rFonts w:asciiTheme="minorHAnsi" w:hAnsiTheme="minorHAnsi" w:cstheme="minorHAnsi"/>
          <w:b/>
          <w:sz w:val="22"/>
          <w:szCs w:val="22"/>
          <w:u w:val="single"/>
        </w:rPr>
        <w:t xml:space="preserve"> popisu jednotlivých položek.</w:t>
      </w:r>
      <w:r w:rsidRPr="00583F4A">
        <w:rPr>
          <w:rFonts w:asciiTheme="minorHAnsi" w:hAnsiTheme="minorHAnsi" w:cstheme="minorHAnsi"/>
          <w:sz w:val="22"/>
          <w:szCs w:val="22"/>
        </w:rPr>
        <w:t xml:space="preserve"> </w:t>
      </w:r>
    </w:p>
    <w:p w14:paraId="23852613" w14:textId="696AE250" w:rsidR="002A1846" w:rsidRPr="00F2068A" w:rsidRDefault="002A1846" w:rsidP="002A1846">
      <w:pPr>
        <w:spacing w:before="120" w:after="120"/>
        <w:jc w:val="both"/>
        <w:rPr>
          <w:rFonts w:asciiTheme="minorHAnsi" w:hAnsiTheme="minorHAnsi"/>
          <w:sz w:val="22"/>
          <w:szCs w:val="22"/>
        </w:rPr>
      </w:pPr>
      <w:r w:rsidRPr="00F2068A">
        <w:rPr>
          <w:rFonts w:asciiTheme="minorHAnsi" w:hAnsiTheme="minorHAnsi"/>
          <w:sz w:val="22"/>
          <w:szCs w:val="22"/>
        </w:rPr>
        <w:t>V případě, že oprávnění osoby jednat za účastníka nevyplývá z dokladů, kterými se prokazuje splnění kvalifikace, nabídka bude obsahovat doklad o takovém oprávnění.</w:t>
      </w:r>
    </w:p>
    <w:p w14:paraId="3F4C8EF6" w14:textId="77777777" w:rsidR="00FC75E2" w:rsidRPr="0077201D" w:rsidRDefault="002A1846" w:rsidP="002A1846">
      <w:pPr>
        <w:spacing w:before="120" w:after="120"/>
        <w:jc w:val="both"/>
        <w:rPr>
          <w:rFonts w:asciiTheme="minorHAnsi" w:hAnsiTheme="minorHAnsi"/>
          <w:sz w:val="22"/>
          <w:szCs w:val="22"/>
        </w:rPr>
      </w:pPr>
      <w:r w:rsidRPr="00F2068A">
        <w:rPr>
          <w:rFonts w:asciiTheme="minorHAnsi" w:hAnsiTheme="minorHAnsi"/>
          <w:sz w:val="22"/>
          <w:szCs w:val="22"/>
        </w:rPr>
        <w:t xml:space="preserve">Obchodní podmínky jsou nedílnou součástí této zadávací dokumentace a jsou zpracovány do formy </w:t>
      </w:r>
      <w:r w:rsidRPr="0077201D">
        <w:rPr>
          <w:rFonts w:asciiTheme="minorHAnsi" w:hAnsiTheme="minorHAnsi"/>
          <w:sz w:val="22"/>
          <w:szCs w:val="22"/>
        </w:rPr>
        <w:t xml:space="preserve">návrhu textu smlouvy a jsou pro účastníka závazné. Účastník je povinen při zpracování návrhu smlouvy </w:t>
      </w:r>
    </w:p>
    <w:p w14:paraId="46126DC9" w14:textId="77154E67" w:rsidR="002A1846" w:rsidRPr="0077201D" w:rsidRDefault="002A1846" w:rsidP="002A1846">
      <w:pPr>
        <w:spacing w:before="120" w:after="120"/>
        <w:jc w:val="both"/>
        <w:rPr>
          <w:rFonts w:asciiTheme="minorHAnsi" w:hAnsiTheme="minorHAnsi"/>
          <w:sz w:val="22"/>
          <w:szCs w:val="22"/>
        </w:rPr>
      </w:pPr>
      <w:r w:rsidRPr="0077201D">
        <w:rPr>
          <w:rFonts w:asciiTheme="minorHAnsi" w:hAnsiTheme="minorHAnsi"/>
          <w:sz w:val="22"/>
          <w:szCs w:val="22"/>
        </w:rPr>
        <w:t>vycházet z obchodních podmínek; Účastník není oprávněn při zpracování návrhů smluv měnit nebo přidat jakýkoliv údaj či ustanovení, vyjma následujících případů:</w:t>
      </w:r>
    </w:p>
    <w:p w14:paraId="4C0A8B6A" w14:textId="77777777" w:rsidR="002A1846" w:rsidRPr="0077201D" w:rsidRDefault="002A1846" w:rsidP="002A1846">
      <w:pPr>
        <w:numPr>
          <w:ilvl w:val="0"/>
          <w:numId w:val="5"/>
        </w:numPr>
        <w:tabs>
          <w:tab w:val="clear" w:pos="540"/>
          <w:tab w:val="num" w:pos="284"/>
        </w:tabs>
        <w:spacing w:before="120" w:after="120"/>
        <w:ind w:left="284" w:hanging="284"/>
        <w:jc w:val="both"/>
        <w:rPr>
          <w:rFonts w:asciiTheme="minorHAnsi" w:hAnsiTheme="minorHAnsi"/>
          <w:sz w:val="22"/>
          <w:szCs w:val="22"/>
        </w:rPr>
      </w:pPr>
      <w:r w:rsidRPr="0077201D">
        <w:rPr>
          <w:rFonts w:asciiTheme="minorHAnsi" w:hAnsiTheme="minorHAnsi"/>
          <w:sz w:val="22"/>
          <w:szCs w:val="22"/>
        </w:rPr>
        <w:t>Identifikace účastníka a osob oprávněných za něj jednat (hlavička a závěr textu).</w:t>
      </w:r>
      <w:r w:rsidRPr="0077201D">
        <w:rPr>
          <w:rFonts w:asciiTheme="minorHAnsi" w:hAnsiTheme="minorHAnsi" w:cs="Arial"/>
          <w:sz w:val="20"/>
          <w:szCs w:val="20"/>
        </w:rPr>
        <w:t xml:space="preserve"> </w:t>
      </w:r>
      <w:r w:rsidRPr="0077201D">
        <w:rPr>
          <w:rFonts w:asciiTheme="minorHAnsi" w:hAnsiTheme="minorHAnsi"/>
          <w:sz w:val="22"/>
          <w:szCs w:val="22"/>
        </w:rPr>
        <w:t>Pokud tato osoba činí právní jednání na základě plné moci či pověření, musí být příslušná plná moc či pověření součástí nabídky v originálu nebo ověřené kopii.</w:t>
      </w:r>
    </w:p>
    <w:p w14:paraId="4B9341B7" w14:textId="77777777" w:rsidR="002A1846" w:rsidRPr="00CD7FDB" w:rsidRDefault="002A1846" w:rsidP="002A1846">
      <w:pPr>
        <w:spacing w:before="120" w:after="120"/>
        <w:ind w:left="284"/>
        <w:jc w:val="both"/>
        <w:rPr>
          <w:rFonts w:asciiTheme="minorHAnsi" w:hAnsiTheme="minorHAnsi"/>
          <w:sz w:val="22"/>
          <w:szCs w:val="22"/>
        </w:rPr>
      </w:pPr>
      <w:r w:rsidRPr="0077201D">
        <w:rPr>
          <w:rFonts w:asciiTheme="minorHAnsi" w:hAnsiTheme="minorHAnsi"/>
          <w:snapToGrid w:val="0"/>
          <w:sz w:val="22"/>
          <w:szCs w:val="22"/>
        </w:rPr>
        <w:t xml:space="preserve">Pokud nabídku podává více osob společně, příslušným způsobem tuto skutečnost zohlední v úvodu </w:t>
      </w:r>
      <w:r w:rsidRPr="00CD7FDB">
        <w:rPr>
          <w:rFonts w:asciiTheme="minorHAnsi" w:hAnsiTheme="minorHAnsi"/>
          <w:snapToGrid w:val="0"/>
          <w:sz w:val="22"/>
          <w:szCs w:val="22"/>
        </w:rPr>
        <w:t>(identifikace smluvních stran) a v závěru (podpisy smluvních stran) návrhu smlouvy.</w:t>
      </w:r>
    </w:p>
    <w:p w14:paraId="6B4CEC02" w14:textId="2C76D57C" w:rsidR="002A1846" w:rsidRPr="00CD7FDB" w:rsidRDefault="002A1846" w:rsidP="002A1846">
      <w:pPr>
        <w:numPr>
          <w:ilvl w:val="0"/>
          <w:numId w:val="5"/>
        </w:numPr>
        <w:tabs>
          <w:tab w:val="clear" w:pos="540"/>
          <w:tab w:val="left" w:pos="142"/>
          <w:tab w:val="num" w:pos="284"/>
        </w:tabs>
        <w:spacing w:before="120" w:after="120"/>
        <w:ind w:left="284" w:hanging="284"/>
        <w:jc w:val="both"/>
        <w:rPr>
          <w:rFonts w:asciiTheme="minorHAnsi" w:hAnsiTheme="minorHAnsi"/>
          <w:sz w:val="22"/>
          <w:szCs w:val="22"/>
        </w:rPr>
      </w:pPr>
      <w:r w:rsidRPr="00CD7FDB">
        <w:rPr>
          <w:rFonts w:asciiTheme="minorHAnsi" w:hAnsiTheme="minorHAnsi"/>
          <w:sz w:val="22"/>
          <w:szCs w:val="22"/>
        </w:rPr>
        <w:t xml:space="preserve">Uvedení veškerých požadovaných údajů o ceně (čl. </w:t>
      </w:r>
      <w:r w:rsidR="0077201D" w:rsidRPr="00CD7FDB">
        <w:rPr>
          <w:rFonts w:asciiTheme="minorHAnsi" w:hAnsiTheme="minorHAnsi"/>
          <w:sz w:val="22"/>
          <w:szCs w:val="22"/>
        </w:rPr>
        <w:t>IV</w:t>
      </w:r>
      <w:r w:rsidRPr="00CD7FDB">
        <w:rPr>
          <w:rFonts w:asciiTheme="minorHAnsi" w:hAnsiTheme="minorHAnsi"/>
          <w:sz w:val="22"/>
          <w:szCs w:val="22"/>
        </w:rPr>
        <w:t>.</w:t>
      </w:r>
      <w:r w:rsidR="003F2878" w:rsidRPr="00CD7FDB">
        <w:rPr>
          <w:rFonts w:asciiTheme="minorHAnsi" w:hAnsiTheme="minorHAnsi"/>
          <w:sz w:val="22"/>
          <w:szCs w:val="22"/>
        </w:rPr>
        <w:t xml:space="preserve"> odst. 1</w:t>
      </w:r>
      <w:r w:rsidRPr="00CD7FDB">
        <w:rPr>
          <w:rFonts w:asciiTheme="minorHAnsi" w:hAnsiTheme="minorHAnsi"/>
          <w:sz w:val="22"/>
          <w:szCs w:val="22"/>
        </w:rPr>
        <w:t>).</w:t>
      </w:r>
    </w:p>
    <w:p w14:paraId="32A08F14" w14:textId="43EE4204" w:rsidR="00CD7FDB" w:rsidRPr="00CD7FDB" w:rsidRDefault="00CD7FDB" w:rsidP="002A1846">
      <w:pPr>
        <w:numPr>
          <w:ilvl w:val="0"/>
          <w:numId w:val="5"/>
        </w:numPr>
        <w:tabs>
          <w:tab w:val="clear" w:pos="540"/>
          <w:tab w:val="num" w:pos="0"/>
          <w:tab w:val="left" w:pos="142"/>
          <w:tab w:val="num" w:pos="284"/>
          <w:tab w:val="num" w:pos="720"/>
        </w:tabs>
        <w:spacing w:before="120" w:after="120"/>
        <w:ind w:left="284" w:hanging="284"/>
        <w:jc w:val="both"/>
        <w:rPr>
          <w:rFonts w:asciiTheme="minorHAnsi" w:hAnsiTheme="minorHAnsi"/>
          <w:sz w:val="22"/>
          <w:szCs w:val="22"/>
        </w:rPr>
      </w:pPr>
      <w:r w:rsidRPr="00CD7FDB">
        <w:rPr>
          <w:rFonts w:asciiTheme="minorHAnsi" w:hAnsiTheme="minorHAnsi" w:cstheme="minorHAnsi"/>
          <w:sz w:val="22"/>
          <w:szCs w:val="22"/>
        </w:rPr>
        <w:t xml:space="preserve">Příloha č. 1 smlouvy o dílo – Položkový rozpočet: Skladba rozpočtu bude přesně odpovídat skladbě přiloženého soupisu prací. Účastník je povinen ocenit každou uvedenou položku. Účastník není oprávněn vytvářet v rozpočtu položky nové, měnit počet měrných jednotek. </w:t>
      </w:r>
    </w:p>
    <w:p w14:paraId="694BA2BE" w14:textId="2B141451" w:rsidR="00CD7FDB" w:rsidRPr="00CD7FDB" w:rsidRDefault="00CD7FDB" w:rsidP="002A1846">
      <w:pPr>
        <w:numPr>
          <w:ilvl w:val="0"/>
          <w:numId w:val="5"/>
        </w:numPr>
        <w:tabs>
          <w:tab w:val="clear" w:pos="540"/>
          <w:tab w:val="num" w:pos="0"/>
          <w:tab w:val="left" w:pos="142"/>
          <w:tab w:val="num" w:pos="284"/>
          <w:tab w:val="num" w:pos="720"/>
        </w:tabs>
        <w:spacing w:before="120" w:after="120"/>
        <w:ind w:left="284" w:hanging="284"/>
        <w:jc w:val="both"/>
        <w:rPr>
          <w:rFonts w:asciiTheme="minorHAnsi" w:hAnsiTheme="minorHAnsi"/>
          <w:sz w:val="22"/>
          <w:szCs w:val="22"/>
        </w:rPr>
      </w:pPr>
      <w:r w:rsidRPr="00CD7FDB">
        <w:rPr>
          <w:rFonts w:asciiTheme="minorHAnsi" w:hAnsiTheme="minorHAnsi"/>
          <w:sz w:val="22"/>
          <w:szCs w:val="22"/>
        </w:rPr>
        <w:t>Příloha č. 3 smlouvy o dílo – technická specifikace zhotovitele</w:t>
      </w:r>
    </w:p>
    <w:p w14:paraId="3375D377" w14:textId="6B4D774F" w:rsidR="002A1846" w:rsidRDefault="00CD7FDB" w:rsidP="002A1846">
      <w:pPr>
        <w:numPr>
          <w:ilvl w:val="0"/>
          <w:numId w:val="5"/>
        </w:numPr>
        <w:tabs>
          <w:tab w:val="clear" w:pos="540"/>
          <w:tab w:val="num" w:pos="0"/>
          <w:tab w:val="left" w:pos="142"/>
          <w:tab w:val="num" w:pos="284"/>
          <w:tab w:val="num" w:pos="720"/>
        </w:tabs>
        <w:spacing w:before="120" w:after="120"/>
        <w:ind w:left="284" w:hanging="284"/>
        <w:jc w:val="both"/>
        <w:rPr>
          <w:rFonts w:asciiTheme="minorHAnsi" w:hAnsiTheme="minorHAnsi"/>
          <w:sz w:val="22"/>
          <w:szCs w:val="22"/>
        </w:rPr>
      </w:pPr>
      <w:r w:rsidRPr="00CD7FDB">
        <w:rPr>
          <w:rFonts w:asciiTheme="minorHAnsi" w:hAnsiTheme="minorHAnsi"/>
          <w:sz w:val="22"/>
          <w:szCs w:val="22"/>
        </w:rPr>
        <w:t xml:space="preserve">Příloha č. 2 smlouvy o dílo - Harmonogram prací finanční a věcný účastník předloží věcný harmonogram v alespoň týdenní podrobnosti a finanční harmonogram alespoň v měsíční podrobnosti. </w:t>
      </w:r>
    </w:p>
    <w:p w14:paraId="15E7114E" w14:textId="77777777" w:rsidR="00353676" w:rsidRPr="00CD7FDB" w:rsidRDefault="00353676" w:rsidP="00353676">
      <w:pPr>
        <w:tabs>
          <w:tab w:val="left" w:pos="142"/>
          <w:tab w:val="num" w:pos="540"/>
          <w:tab w:val="num" w:pos="720"/>
        </w:tabs>
        <w:spacing w:before="120" w:after="120"/>
        <w:ind w:left="284"/>
        <w:jc w:val="both"/>
        <w:rPr>
          <w:rFonts w:asciiTheme="minorHAnsi" w:hAnsiTheme="minorHAnsi"/>
          <w:sz w:val="22"/>
          <w:szCs w:val="22"/>
        </w:rPr>
      </w:pPr>
    </w:p>
    <w:p w14:paraId="358C9664" w14:textId="51DBA592" w:rsidR="004D3DA6" w:rsidRDefault="004D3DA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Pr>
          <w:rFonts w:asciiTheme="minorHAnsi" w:hAnsiTheme="minorHAnsi"/>
          <w:b/>
          <w:smallCaps/>
          <w:spacing w:val="20"/>
          <w:sz w:val="22"/>
          <w:szCs w:val="22"/>
        </w:rPr>
        <w:t>Jistota</w:t>
      </w:r>
    </w:p>
    <w:p w14:paraId="789F2FB5" w14:textId="32469C32" w:rsidR="004D3DA6" w:rsidRPr="004D3DA6" w:rsidRDefault="004D3DA6" w:rsidP="004D3DA6">
      <w:pPr>
        <w:tabs>
          <w:tab w:val="num" w:pos="567"/>
        </w:tabs>
        <w:spacing w:before="120" w:after="120"/>
        <w:jc w:val="both"/>
        <w:rPr>
          <w:rFonts w:ascii="Calibri" w:hAnsi="Calibri" w:cs="Calibri"/>
          <w:sz w:val="22"/>
          <w:szCs w:val="22"/>
        </w:rPr>
      </w:pPr>
      <w:r w:rsidRPr="004D3DA6">
        <w:rPr>
          <w:rFonts w:ascii="Calibri" w:hAnsi="Calibri" w:cs="Calibri"/>
          <w:sz w:val="22"/>
          <w:szCs w:val="22"/>
        </w:rPr>
        <w:t xml:space="preserve">Zadavatel ve smyslu § 41 ZZVZ požaduje poskytnutí jistoty k zajištění plnění povinností účastníka vyplývajících mu z účasti v zadávacím řízení, a to ve výši </w:t>
      </w:r>
      <w:r w:rsidR="00237A56">
        <w:rPr>
          <w:rFonts w:ascii="Calibri" w:hAnsi="Calibri" w:cs="Calibri"/>
          <w:b/>
          <w:sz w:val="22"/>
          <w:szCs w:val="22"/>
        </w:rPr>
        <w:t>6</w:t>
      </w:r>
      <w:r w:rsidR="006A539C">
        <w:rPr>
          <w:rFonts w:ascii="Calibri" w:hAnsi="Calibri" w:cs="Calibri"/>
          <w:b/>
          <w:sz w:val="22"/>
          <w:szCs w:val="22"/>
        </w:rPr>
        <w:t>00</w:t>
      </w:r>
      <w:r w:rsidR="00237A56">
        <w:rPr>
          <w:rFonts w:ascii="Calibri" w:hAnsi="Calibri" w:cs="Calibri"/>
          <w:b/>
          <w:sz w:val="22"/>
          <w:szCs w:val="22"/>
        </w:rPr>
        <w:t>.000</w:t>
      </w:r>
      <w:r w:rsidRPr="004D3DA6">
        <w:rPr>
          <w:rFonts w:ascii="Calibri" w:hAnsi="Calibri" w:cs="Calibri"/>
          <w:b/>
          <w:sz w:val="22"/>
          <w:szCs w:val="22"/>
        </w:rPr>
        <w:t>,- Kč</w:t>
      </w:r>
      <w:r w:rsidRPr="004D3DA6">
        <w:rPr>
          <w:rFonts w:ascii="Calibri" w:hAnsi="Calibri" w:cs="Calibri"/>
          <w:sz w:val="22"/>
          <w:szCs w:val="22"/>
        </w:rPr>
        <w:t>.</w:t>
      </w:r>
    </w:p>
    <w:p w14:paraId="0DF62446" w14:textId="0807E08D" w:rsidR="004D3DA6" w:rsidRPr="004D3DA6" w:rsidRDefault="004D3DA6" w:rsidP="004D3DA6">
      <w:pPr>
        <w:tabs>
          <w:tab w:val="num" w:pos="567"/>
        </w:tabs>
        <w:spacing w:before="120" w:after="120"/>
        <w:jc w:val="both"/>
        <w:rPr>
          <w:rFonts w:ascii="Calibri" w:hAnsi="Calibri" w:cs="Calibri"/>
          <w:sz w:val="22"/>
          <w:szCs w:val="22"/>
        </w:rPr>
      </w:pPr>
      <w:r w:rsidRPr="004D3DA6">
        <w:rPr>
          <w:rFonts w:ascii="Calibri" w:hAnsi="Calibri" w:cs="Calibri"/>
          <w:sz w:val="22"/>
          <w:szCs w:val="22"/>
        </w:rPr>
        <w:lastRenderedPageBreak/>
        <w:t xml:space="preserve">Jistotu poskytne </w:t>
      </w:r>
      <w:r w:rsidR="007C2F6B">
        <w:rPr>
          <w:rFonts w:ascii="Calibri" w:hAnsi="Calibri" w:cs="Calibri"/>
          <w:sz w:val="22"/>
          <w:szCs w:val="22"/>
        </w:rPr>
        <w:t>ú</w:t>
      </w:r>
      <w:r w:rsidRPr="004D3DA6">
        <w:rPr>
          <w:rFonts w:ascii="Calibri" w:hAnsi="Calibri" w:cs="Calibri"/>
          <w:sz w:val="22"/>
          <w:szCs w:val="22"/>
        </w:rPr>
        <w:t xml:space="preserve">častník formou složení peněžní částky na účet zadavatele, nebo formou bankovní záruky, anebo formou pojištění záruky.  </w:t>
      </w:r>
    </w:p>
    <w:p w14:paraId="36DA4C19" w14:textId="06AC9477" w:rsidR="004D3DA6" w:rsidRPr="004D3DA6" w:rsidRDefault="007C2F6B" w:rsidP="004D3DA6">
      <w:pPr>
        <w:tabs>
          <w:tab w:val="num" w:pos="567"/>
        </w:tabs>
        <w:spacing w:before="120" w:after="120"/>
        <w:jc w:val="both"/>
        <w:rPr>
          <w:rFonts w:ascii="Calibri" w:hAnsi="Calibri" w:cs="Calibri"/>
          <w:sz w:val="22"/>
          <w:szCs w:val="22"/>
        </w:rPr>
      </w:pPr>
      <w:r w:rsidRPr="007C2F6B">
        <w:rPr>
          <w:rFonts w:ascii="Calibri" w:hAnsi="Calibri" w:cs="Calibri"/>
          <w:sz w:val="22"/>
          <w:szCs w:val="22"/>
        </w:rPr>
        <w:t>Jistotu poskytnutou formou složení peněžní částky je účastník povinen složit na účet zadavatele statutárního města Brna, č. účtu 111510222/0800 vedený u České spořitelny, a. s. , se sídlem Olbrachtova 1929/62, 140 00 Praha 4,  variabilní symbol je šestimístné číslo veřejné zakázky uvedené ve věstníku veřejných zakázek a jako specifický symbol své IČO. Jistota složená formou složení peněžní částky musí být připsána na účet zadavatele ve lhůtě pro podání nabídek. Dokladem o poskytnutí peněžní jistoty se rozumí kopie výpisu z účtu účastníka zadávacího řízení, na kterém je uvedena celková částka odpovídající výši požadované jistoty prokazatelně odečtena ve prospěch účtu zadavatele, případně kopie hotovostní pokladní stvrzenky o složení finančních prostředků ve výši požadované jistoty v hotovosti na pokladně některé z poboček stanoveného peněžního ústavu</w:t>
      </w:r>
      <w:r w:rsidR="004D3DA6" w:rsidRPr="007C2F6B">
        <w:rPr>
          <w:rFonts w:ascii="Calibri" w:hAnsi="Calibri" w:cs="Calibri"/>
          <w:sz w:val="22"/>
          <w:szCs w:val="22"/>
        </w:rPr>
        <w:t>.</w:t>
      </w:r>
    </w:p>
    <w:p w14:paraId="6FA63D89" w14:textId="59E2F338" w:rsidR="004D3DA6" w:rsidRPr="004D3DA6" w:rsidRDefault="004D3DA6" w:rsidP="004D3DA6">
      <w:pPr>
        <w:spacing w:before="120" w:after="120"/>
        <w:jc w:val="both"/>
        <w:rPr>
          <w:rFonts w:ascii="Calibri" w:hAnsi="Calibri" w:cs="Calibri"/>
          <w:sz w:val="22"/>
          <w:szCs w:val="22"/>
        </w:rPr>
      </w:pPr>
      <w:r w:rsidRPr="004D3DA6">
        <w:rPr>
          <w:rFonts w:ascii="Calibri" w:hAnsi="Calibri" w:cs="Calibri"/>
          <w:sz w:val="22"/>
          <w:szCs w:val="22"/>
        </w:rPr>
        <w:t xml:space="preserve">V případě, že </w:t>
      </w:r>
      <w:r w:rsidR="007C2F6B">
        <w:rPr>
          <w:rFonts w:ascii="Calibri" w:hAnsi="Calibri" w:cs="Calibri"/>
          <w:sz w:val="22"/>
          <w:szCs w:val="22"/>
        </w:rPr>
        <w:t>ú</w:t>
      </w:r>
      <w:r w:rsidRPr="004D3DA6">
        <w:rPr>
          <w:rFonts w:ascii="Calibri" w:hAnsi="Calibri" w:cs="Calibri"/>
          <w:sz w:val="22"/>
          <w:szCs w:val="22"/>
        </w:rPr>
        <w:t>častník poskytne jistotu formou bankovní záruky nebo formou pojištění záruky, předloží v nabídce originál bankovní záruky nebo originál prohlášení dle § 41 odst. 4 Z</w:t>
      </w:r>
      <w:r w:rsidR="006A539C">
        <w:rPr>
          <w:rFonts w:ascii="Calibri" w:hAnsi="Calibri" w:cs="Calibri"/>
          <w:sz w:val="22"/>
          <w:szCs w:val="22"/>
        </w:rPr>
        <w:t>Z</w:t>
      </w:r>
      <w:r w:rsidRPr="004D3DA6">
        <w:rPr>
          <w:rFonts w:ascii="Calibri" w:hAnsi="Calibri" w:cs="Calibri"/>
          <w:sz w:val="22"/>
          <w:szCs w:val="22"/>
        </w:rPr>
        <w:t>VZ.</w:t>
      </w:r>
    </w:p>
    <w:p w14:paraId="5793A488" w14:textId="77777777" w:rsidR="004D3DA6" w:rsidRPr="004D3DA6" w:rsidRDefault="004D3DA6" w:rsidP="004D3DA6">
      <w:pPr>
        <w:spacing w:before="120" w:after="120"/>
        <w:jc w:val="both"/>
        <w:rPr>
          <w:rFonts w:ascii="Calibri" w:hAnsi="Calibri" w:cs="Calibri"/>
          <w:sz w:val="22"/>
          <w:szCs w:val="22"/>
        </w:rPr>
      </w:pPr>
      <w:r w:rsidRPr="004D3DA6">
        <w:rPr>
          <w:rFonts w:ascii="Calibri" w:hAnsi="Calibri" w:cs="Calibri"/>
          <w:sz w:val="22"/>
          <w:szCs w:val="22"/>
        </w:rPr>
        <w:t>Jistota poskytnuta formou bankovní záruky musí být bez podmínek a další případných nákladů pro zadavatele.</w:t>
      </w:r>
    </w:p>
    <w:p w14:paraId="726BC08E" w14:textId="4257A0B2" w:rsidR="004D3DA6" w:rsidRDefault="004D3DA6" w:rsidP="004D3DA6">
      <w:pPr>
        <w:spacing w:before="120" w:after="120"/>
        <w:jc w:val="both"/>
        <w:rPr>
          <w:sz w:val="22"/>
          <w:szCs w:val="22"/>
        </w:rPr>
      </w:pPr>
      <w:r w:rsidRPr="004D3DA6">
        <w:rPr>
          <w:rFonts w:ascii="Calibri" w:hAnsi="Calibri" w:cs="Calibri"/>
          <w:sz w:val="22"/>
          <w:szCs w:val="22"/>
        </w:rPr>
        <w:t>Zadavatel má právo na plnění z jistoty včetně úroků zúčtovaných peněžním ústavem, pokud účastníku zadávacího řízení v zadávací lhůtě zanikla účast v zadávacím řízení po vyloučení podle §122 odst. 5 ZZVZ nebo § 124 odst. 2 ZZVZ</w:t>
      </w:r>
      <w:r>
        <w:rPr>
          <w:sz w:val="22"/>
          <w:szCs w:val="22"/>
        </w:rPr>
        <w:t>.</w:t>
      </w:r>
    </w:p>
    <w:p w14:paraId="36BCA1EF" w14:textId="77777777" w:rsidR="004D3DA6" w:rsidRDefault="004D3DA6" w:rsidP="004D3DA6">
      <w:pPr>
        <w:spacing w:before="120" w:after="120"/>
        <w:jc w:val="both"/>
        <w:rPr>
          <w:rFonts w:asciiTheme="minorHAnsi" w:hAnsiTheme="minorHAnsi"/>
          <w:b/>
          <w:smallCaps/>
          <w:spacing w:val="20"/>
          <w:sz w:val="22"/>
          <w:szCs w:val="22"/>
        </w:rPr>
      </w:pPr>
    </w:p>
    <w:p w14:paraId="4A3E58B9" w14:textId="3292672A"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Obsah nabídky</w:t>
      </w:r>
    </w:p>
    <w:p w14:paraId="54DE9F9D" w14:textId="77777777" w:rsidR="002A1846" w:rsidRPr="00F2068A" w:rsidRDefault="002A1846" w:rsidP="002A1846">
      <w:pPr>
        <w:jc w:val="both"/>
        <w:rPr>
          <w:rFonts w:asciiTheme="minorHAnsi" w:hAnsiTheme="minorHAnsi"/>
          <w:sz w:val="22"/>
          <w:szCs w:val="22"/>
        </w:rPr>
      </w:pPr>
      <w:r w:rsidRPr="00F2068A">
        <w:rPr>
          <w:rFonts w:asciiTheme="minorHAnsi" w:hAnsiTheme="minorHAnsi"/>
          <w:sz w:val="22"/>
          <w:szCs w:val="22"/>
        </w:rPr>
        <w:t>Zadavatel stanovuje následující požadavky na nabídku, která bude obsahovat:</w:t>
      </w:r>
    </w:p>
    <w:p w14:paraId="7B9E297E" w14:textId="77777777" w:rsidR="002A1846" w:rsidRPr="00F2068A" w:rsidRDefault="002A1846" w:rsidP="002A1846">
      <w:pPr>
        <w:numPr>
          <w:ilvl w:val="0"/>
          <w:numId w:val="6"/>
        </w:numPr>
        <w:tabs>
          <w:tab w:val="clear" w:pos="720"/>
          <w:tab w:val="num" w:pos="426"/>
        </w:tabs>
        <w:ind w:left="426" w:hanging="426"/>
        <w:jc w:val="both"/>
        <w:rPr>
          <w:rFonts w:asciiTheme="minorHAnsi" w:hAnsiTheme="minorHAnsi"/>
          <w:sz w:val="22"/>
          <w:szCs w:val="22"/>
        </w:rPr>
      </w:pPr>
      <w:r w:rsidRPr="00F2068A">
        <w:rPr>
          <w:rFonts w:asciiTheme="minorHAnsi" w:hAnsiTheme="minorHAnsi"/>
          <w:sz w:val="22"/>
          <w:szCs w:val="22"/>
        </w:rPr>
        <w:t>Identifikační údaje účastníka uvedené ve formuláři „</w:t>
      </w:r>
      <w:r w:rsidRPr="00962DE7">
        <w:rPr>
          <w:rFonts w:asciiTheme="minorHAnsi" w:hAnsiTheme="minorHAnsi"/>
          <w:b/>
          <w:sz w:val="22"/>
          <w:szCs w:val="22"/>
        </w:rPr>
        <w:t>Krycí list nabídky</w:t>
      </w:r>
      <w:r w:rsidRPr="00F2068A">
        <w:rPr>
          <w:rFonts w:asciiTheme="minorHAnsi" w:hAnsiTheme="minorHAnsi"/>
          <w:sz w:val="22"/>
          <w:szCs w:val="22"/>
        </w:rPr>
        <w:t xml:space="preserve">“ (Obchodní firma, název nebo jméno a příjmení; sídlo nebo místo podnikání; identifikační číslo. V případě podání společné nabídky: (společnost dle §2716 a násl. občanského zákoníku): Označení společnosti; identifikační údaje členů společnosti, způsob jednání za společnost) – formulář tvoří </w:t>
      </w:r>
      <w:r w:rsidRPr="00F2068A">
        <w:rPr>
          <w:rFonts w:asciiTheme="minorHAnsi" w:hAnsiTheme="minorHAnsi"/>
          <w:sz w:val="23"/>
          <w:szCs w:val="23"/>
        </w:rPr>
        <w:t>přílohu č.</w:t>
      </w:r>
      <w:r w:rsidR="00962DE7">
        <w:rPr>
          <w:rFonts w:asciiTheme="minorHAnsi" w:hAnsiTheme="minorHAnsi"/>
          <w:sz w:val="23"/>
          <w:szCs w:val="23"/>
        </w:rPr>
        <w:t xml:space="preserve"> </w:t>
      </w:r>
      <w:r w:rsidRPr="00F2068A">
        <w:rPr>
          <w:rFonts w:asciiTheme="minorHAnsi" w:hAnsiTheme="minorHAnsi"/>
          <w:sz w:val="23"/>
          <w:szCs w:val="23"/>
        </w:rPr>
        <w:t>1.</w:t>
      </w:r>
    </w:p>
    <w:p w14:paraId="7DAAB058" w14:textId="77777777" w:rsidR="002A1846" w:rsidRPr="00F2068A" w:rsidRDefault="002A1846" w:rsidP="002A1846">
      <w:pPr>
        <w:numPr>
          <w:ilvl w:val="0"/>
          <w:numId w:val="6"/>
        </w:numPr>
        <w:tabs>
          <w:tab w:val="clear" w:pos="720"/>
          <w:tab w:val="num" w:pos="426"/>
        </w:tabs>
        <w:ind w:left="426" w:hanging="426"/>
        <w:jc w:val="both"/>
        <w:rPr>
          <w:rFonts w:asciiTheme="minorHAnsi" w:hAnsiTheme="minorHAnsi"/>
          <w:sz w:val="22"/>
          <w:szCs w:val="22"/>
        </w:rPr>
      </w:pPr>
      <w:r w:rsidRPr="00F2068A">
        <w:rPr>
          <w:rFonts w:asciiTheme="minorHAnsi" w:hAnsiTheme="minorHAnsi"/>
          <w:sz w:val="22"/>
          <w:szCs w:val="22"/>
        </w:rPr>
        <w:t>Doklady prokazující kvalifikaci a způsobilost.</w:t>
      </w:r>
    </w:p>
    <w:p w14:paraId="183C1DA0" w14:textId="77777777" w:rsidR="002A1846" w:rsidRPr="00F2068A" w:rsidRDefault="002A1846" w:rsidP="002A1846">
      <w:pPr>
        <w:numPr>
          <w:ilvl w:val="0"/>
          <w:numId w:val="6"/>
        </w:numPr>
        <w:tabs>
          <w:tab w:val="clear" w:pos="720"/>
          <w:tab w:val="num" w:pos="426"/>
        </w:tabs>
        <w:ind w:left="426" w:hanging="426"/>
        <w:jc w:val="both"/>
        <w:rPr>
          <w:rFonts w:asciiTheme="minorHAnsi" w:hAnsiTheme="minorHAnsi"/>
          <w:sz w:val="22"/>
          <w:szCs w:val="22"/>
        </w:rPr>
      </w:pPr>
      <w:r w:rsidRPr="00F2068A">
        <w:rPr>
          <w:rFonts w:asciiTheme="minorHAnsi" w:hAnsiTheme="minorHAnsi"/>
          <w:sz w:val="22"/>
          <w:szCs w:val="22"/>
        </w:rPr>
        <w:t>Doklad o oprávnění osoby, jež podepisuje návrh smlouvy, uzavřít danou smlouvu se zadavatelem.</w:t>
      </w:r>
    </w:p>
    <w:p w14:paraId="55494E21" w14:textId="15B45D8A" w:rsidR="00174A2B" w:rsidRPr="009C4341" w:rsidRDefault="007C2F6B" w:rsidP="00174A2B">
      <w:pPr>
        <w:numPr>
          <w:ilvl w:val="0"/>
          <w:numId w:val="6"/>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w:t>
      </w:r>
      <w:r w:rsidR="00174A2B" w:rsidRPr="009C4341">
        <w:rPr>
          <w:rFonts w:asciiTheme="minorHAnsi" w:hAnsiTheme="minorHAnsi" w:cstheme="minorHAnsi"/>
          <w:sz w:val="22"/>
          <w:szCs w:val="22"/>
        </w:rPr>
        <w:t>ávrh sml</w:t>
      </w:r>
      <w:r>
        <w:rPr>
          <w:rFonts w:asciiTheme="minorHAnsi" w:hAnsiTheme="minorHAnsi" w:cstheme="minorHAnsi"/>
          <w:sz w:val="22"/>
          <w:szCs w:val="22"/>
        </w:rPr>
        <w:t>ouvy</w:t>
      </w:r>
      <w:r w:rsidR="00174A2B" w:rsidRPr="009C4341">
        <w:rPr>
          <w:rFonts w:asciiTheme="minorHAnsi" w:hAnsiTheme="minorHAnsi" w:cstheme="minorHAnsi"/>
          <w:sz w:val="22"/>
          <w:szCs w:val="22"/>
        </w:rPr>
        <w:t xml:space="preserve"> podepsané osobou oprávněnou jednat jménem či za účastníka, vč. všech příloh, nespojené s ostatními listy nabídky.</w:t>
      </w:r>
    </w:p>
    <w:p w14:paraId="78471B01" w14:textId="2FE545ED" w:rsidR="002A1846" w:rsidRDefault="002A1846" w:rsidP="002A1846">
      <w:pPr>
        <w:numPr>
          <w:ilvl w:val="0"/>
          <w:numId w:val="6"/>
        </w:numPr>
        <w:tabs>
          <w:tab w:val="clear" w:pos="720"/>
          <w:tab w:val="num" w:pos="426"/>
        </w:tabs>
        <w:ind w:left="426" w:hanging="426"/>
        <w:jc w:val="both"/>
        <w:rPr>
          <w:rFonts w:asciiTheme="minorHAnsi" w:hAnsiTheme="minorHAnsi"/>
          <w:sz w:val="22"/>
          <w:szCs w:val="22"/>
        </w:rPr>
      </w:pPr>
      <w:r w:rsidRPr="00F2068A">
        <w:rPr>
          <w:rFonts w:asciiTheme="minorHAnsi" w:hAnsiTheme="minorHAnsi"/>
          <w:sz w:val="22"/>
          <w:szCs w:val="22"/>
        </w:rPr>
        <w:t>Další doklady požadované v zadávacích podmínkách či na jejich základě.</w:t>
      </w:r>
    </w:p>
    <w:p w14:paraId="57690006" w14:textId="77777777" w:rsidR="00BB7A15" w:rsidRPr="00BB7A15" w:rsidRDefault="00BB7A15" w:rsidP="004D3DA6">
      <w:pPr>
        <w:pStyle w:val="Odstavecseseznamem"/>
        <w:numPr>
          <w:ilvl w:val="0"/>
          <w:numId w:val="6"/>
        </w:numPr>
        <w:tabs>
          <w:tab w:val="clear" w:pos="720"/>
          <w:tab w:val="num" w:pos="426"/>
        </w:tabs>
        <w:ind w:hanging="720"/>
        <w:rPr>
          <w:rFonts w:asciiTheme="minorHAnsi" w:hAnsiTheme="minorHAnsi"/>
          <w:sz w:val="22"/>
          <w:szCs w:val="22"/>
        </w:rPr>
      </w:pPr>
      <w:r w:rsidRPr="00BB7A15">
        <w:rPr>
          <w:rFonts w:asciiTheme="minorHAnsi" w:hAnsiTheme="minorHAnsi"/>
          <w:sz w:val="22"/>
          <w:szCs w:val="22"/>
        </w:rPr>
        <w:t>Doklady prokazující poskytnutí jistoty dle § 41 ZZVZ.</w:t>
      </w:r>
    </w:p>
    <w:p w14:paraId="5AE3FF74" w14:textId="77777777" w:rsidR="00174A2B" w:rsidRPr="009C4341" w:rsidRDefault="00174A2B" w:rsidP="00174A2B">
      <w:pPr>
        <w:numPr>
          <w:ilvl w:val="0"/>
          <w:numId w:val="6"/>
        </w:numPr>
        <w:tabs>
          <w:tab w:val="clear" w:pos="720"/>
          <w:tab w:val="num" w:pos="426"/>
        </w:tabs>
        <w:ind w:left="426" w:hanging="426"/>
        <w:jc w:val="both"/>
        <w:rPr>
          <w:rFonts w:asciiTheme="minorHAnsi" w:hAnsiTheme="minorHAnsi" w:cstheme="minorHAnsi"/>
          <w:sz w:val="22"/>
          <w:szCs w:val="22"/>
        </w:rPr>
      </w:pPr>
      <w:r w:rsidRPr="009C4341">
        <w:rPr>
          <w:rFonts w:asciiTheme="minorHAnsi" w:hAnsiTheme="minorHAnsi" w:cstheme="minorHAnsi"/>
          <w:sz w:val="22"/>
          <w:szCs w:val="22"/>
        </w:rPr>
        <w:t>Elektronický nosič dat (CD či DVD) s kopií nabídky a textem návrhů smluv vč. všech příloh.</w:t>
      </w:r>
    </w:p>
    <w:p w14:paraId="1CE0937D" w14:textId="77777777" w:rsidR="00A87D8F" w:rsidRDefault="00A87D8F" w:rsidP="00A87D8F">
      <w:pPr>
        <w:jc w:val="both"/>
        <w:rPr>
          <w:rFonts w:asciiTheme="minorHAnsi" w:hAnsiTheme="minorHAnsi"/>
          <w:sz w:val="22"/>
          <w:szCs w:val="22"/>
        </w:rPr>
      </w:pPr>
    </w:p>
    <w:p w14:paraId="089D143E" w14:textId="77777777"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Podání nabídky</w:t>
      </w:r>
    </w:p>
    <w:tbl>
      <w:tblPr>
        <w:tblW w:w="9468" w:type="dxa"/>
        <w:tblLook w:val="01E0" w:firstRow="1" w:lastRow="1" w:firstColumn="1" w:lastColumn="1" w:noHBand="0" w:noVBand="0"/>
      </w:tblPr>
      <w:tblGrid>
        <w:gridCol w:w="1368"/>
        <w:gridCol w:w="8100"/>
      </w:tblGrid>
      <w:tr w:rsidR="002A1846" w:rsidRPr="00F2068A" w14:paraId="29A2CB1C" w14:textId="77777777" w:rsidTr="002646BE">
        <w:tc>
          <w:tcPr>
            <w:tcW w:w="1368" w:type="dxa"/>
          </w:tcPr>
          <w:p w14:paraId="0D1E3DBB" w14:textId="77777777" w:rsidR="002A1846" w:rsidRPr="00F2068A" w:rsidRDefault="002A1846" w:rsidP="002646BE">
            <w:pPr>
              <w:spacing w:before="120" w:after="120"/>
              <w:jc w:val="both"/>
              <w:rPr>
                <w:rFonts w:asciiTheme="minorHAnsi" w:hAnsiTheme="minorHAnsi"/>
              </w:rPr>
            </w:pPr>
            <w:r w:rsidRPr="00F2068A">
              <w:rPr>
                <w:rFonts w:asciiTheme="minorHAnsi" w:hAnsiTheme="minorHAnsi"/>
                <w:sz w:val="22"/>
                <w:szCs w:val="22"/>
              </w:rPr>
              <w:t>Lhůta</w:t>
            </w:r>
          </w:p>
        </w:tc>
        <w:tc>
          <w:tcPr>
            <w:tcW w:w="8100" w:type="dxa"/>
          </w:tcPr>
          <w:p w14:paraId="5C32F30B" w14:textId="61698C6A" w:rsidR="002A1846" w:rsidRPr="00F2068A" w:rsidRDefault="00353676" w:rsidP="007E7321">
            <w:pPr>
              <w:spacing w:before="120" w:after="120"/>
              <w:jc w:val="both"/>
              <w:rPr>
                <w:rFonts w:asciiTheme="minorHAnsi" w:hAnsiTheme="minorHAnsi"/>
                <w:b/>
              </w:rPr>
            </w:pPr>
            <w:r>
              <w:rPr>
                <w:rFonts w:asciiTheme="minorHAnsi" w:hAnsiTheme="minorHAnsi"/>
                <w:b/>
                <w:sz w:val="22"/>
                <w:szCs w:val="22"/>
              </w:rPr>
              <w:t>25.07.</w:t>
            </w:r>
            <w:r w:rsidR="002A1846" w:rsidRPr="0009475D">
              <w:rPr>
                <w:rFonts w:asciiTheme="minorHAnsi" w:hAnsiTheme="minorHAnsi"/>
                <w:b/>
                <w:sz w:val="22"/>
                <w:szCs w:val="22"/>
              </w:rPr>
              <w:t>201</w:t>
            </w:r>
            <w:r w:rsidR="007E7321" w:rsidRPr="0009475D">
              <w:rPr>
                <w:rFonts w:asciiTheme="minorHAnsi" w:hAnsiTheme="minorHAnsi"/>
                <w:b/>
                <w:sz w:val="22"/>
                <w:szCs w:val="22"/>
              </w:rPr>
              <w:t>8</w:t>
            </w:r>
            <w:r w:rsidR="002A1846" w:rsidRPr="0009475D">
              <w:rPr>
                <w:rFonts w:asciiTheme="minorHAnsi" w:hAnsiTheme="minorHAnsi"/>
                <w:b/>
                <w:sz w:val="22"/>
                <w:szCs w:val="22"/>
              </w:rPr>
              <w:t xml:space="preserve"> do 0</w:t>
            </w:r>
            <w:r>
              <w:rPr>
                <w:rFonts w:asciiTheme="minorHAnsi" w:hAnsiTheme="minorHAnsi"/>
                <w:b/>
                <w:sz w:val="22"/>
                <w:szCs w:val="22"/>
              </w:rPr>
              <w:t>9</w:t>
            </w:r>
            <w:r w:rsidR="002A1846" w:rsidRPr="0009475D">
              <w:rPr>
                <w:rFonts w:asciiTheme="minorHAnsi" w:hAnsiTheme="minorHAnsi"/>
                <w:b/>
                <w:sz w:val="22"/>
                <w:szCs w:val="22"/>
              </w:rPr>
              <w:t>:00 hod.</w:t>
            </w:r>
          </w:p>
        </w:tc>
      </w:tr>
      <w:tr w:rsidR="002A1846" w:rsidRPr="00F2068A" w14:paraId="78122956" w14:textId="77777777" w:rsidTr="002646BE">
        <w:trPr>
          <w:trHeight w:val="80"/>
        </w:trPr>
        <w:tc>
          <w:tcPr>
            <w:tcW w:w="1368" w:type="dxa"/>
          </w:tcPr>
          <w:p w14:paraId="6556AA0A" w14:textId="77777777" w:rsidR="002A1846" w:rsidRPr="00F2068A" w:rsidRDefault="002A1846" w:rsidP="002646BE">
            <w:pPr>
              <w:spacing w:before="120" w:after="120"/>
              <w:jc w:val="both"/>
              <w:rPr>
                <w:rFonts w:asciiTheme="minorHAnsi" w:hAnsiTheme="minorHAnsi"/>
              </w:rPr>
            </w:pPr>
            <w:r w:rsidRPr="00F2068A">
              <w:rPr>
                <w:rFonts w:asciiTheme="minorHAnsi" w:hAnsiTheme="minorHAnsi"/>
                <w:sz w:val="22"/>
                <w:szCs w:val="22"/>
              </w:rPr>
              <w:t xml:space="preserve">Místo </w:t>
            </w:r>
          </w:p>
        </w:tc>
        <w:tc>
          <w:tcPr>
            <w:tcW w:w="8100" w:type="dxa"/>
          </w:tcPr>
          <w:p w14:paraId="48C63CAA" w14:textId="77777777" w:rsidR="002A1846" w:rsidRPr="00F2068A" w:rsidRDefault="002A1846" w:rsidP="007E7321">
            <w:pPr>
              <w:spacing w:before="120" w:after="120"/>
              <w:jc w:val="both"/>
              <w:rPr>
                <w:rFonts w:asciiTheme="minorHAnsi" w:hAnsiTheme="minorHAnsi"/>
              </w:rPr>
            </w:pPr>
            <w:r w:rsidRPr="00F2068A">
              <w:rPr>
                <w:rFonts w:asciiTheme="minorHAnsi" w:hAnsiTheme="minorHAnsi"/>
                <w:sz w:val="22"/>
                <w:szCs w:val="22"/>
              </w:rPr>
              <w:t>Brněnské komunikace a.s., Renneská tř</w:t>
            </w:r>
            <w:r w:rsidR="007E7321">
              <w:rPr>
                <w:rFonts w:asciiTheme="minorHAnsi" w:hAnsiTheme="minorHAnsi"/>
                <w:sz w:val="22"/>
                <w:szCs w:val="22"/>
              </w:rPr>
              <w:t>ída</w:t>
            </w:r>
            <w:r w:rsidRPr="00F2068A">
              <w:rPr>
                <w:rFonts w:asciiTheme="minorHAnsi" w:hAnsiTheme="minorHAnsi"/>
                <w:sz w:val="22"/>
                <w:szCs w:val="22"/>
              </w:rPr>
              <w:t xml:space="preserve"> 787/1a, 639 00 Brno</w:t>
            </w:r>
          </w:p>
        </w:tc>
      </w:tr>
      <w:tr w:rsidR="002A1846" w:rsidRPr="00F2068A" w14:paraId="3B131C06" w14:textId="77777777" w:rsidTr="002646BE">
        <w:tc>
          <w:tcPr>
            <w:tcW w:w="1368" w:type="dxa"/>
          </w:tcPr>
          <w:p w14:paraId="6BC8B170" w14:textId="77777777" w:rsidR="002A1846" w:rsidRPr="00F2068A" w:rsidRDefault="002A1846" w:rsidP="002646BE">
            <w:pPr>
              <w:spacing w:before="120" w:after="120"/>
              <w:jc w:val="both"/>
              <w:rPr>
                <w:rFonts w:asciiTheme="minorHAnsi" w:hAnsiTheme="minorHAnsi"/>
              </w:rPr>
            </w:pPr>
            <w:r w:rsidRPr="00F2068A">
              <w:rPr>
                <w:rFonts w:asciiTheme="minorHAnsi" w:hAnsiTheme="minorHAnsi"/>
                <w:sz w:val="22"/>
                <w:szCs w:val="22"/>
              </w:rPr>
              <w:t xml:space="preserve">Způsob </w:t>
            </w:r>
          </w:p>
        </w:tc>
        <w:tc>
          <w:tcPr>
            <w:tcW w:w="8100" w:type="dxa"/>
          </w:tcPr>
          <w:p w14:paraId="0D4C16CB" w14:textId="77777777" w:rsidR="002A1846" w:rsidRPr="00F2068A" w:rsidRDefault="002A1846" w:rsidP="002646BE">
            <w:pPr>
              <w:spacing w:before="120" w:after="120"/>
              <w:rPr>
                <w:rFonts w:asciiTheme="minorHAnsi" w:hAnsiTheme="minorHAnsi"/>
              </w:rPr>
            </w:pPr>
            <w:r w:rsidRPr="00F2068A">
              <w:rPr>
                <w:rFonts w:asciiTheme="minorHAnsi" w:hAnsiTheme="minorHAnsi"/>
                <w:sz w:val="22"/>
                <w:szCs w:val="22"/>
              </w:rPr>
              <w:t xml:space="preserve">Korespondenčně, nebo osobně v pracovní dny na podatelně </w:t>
            </w:r>
          </w:p>
        </w:tc>
      </w:tr>
    </w:tbl>
    <w:p w14:paraId="6726E772" w14:textId="77777777" w:rsidR="002A1846" w:rsidRPr="00F2068A" w:rsidRDefault="002A1846" w:rsidP="002A1846">
      <w:pPr>
        <w:spacing w:before="120" w:after="120"/>
        <w:jc w:val="both"/>
        <w:rPr>
          <w:rFonts w:asciiTheme="minorHAnsi" w:hAnsiTheme="minorHAnsi"/>
          <w:sz w:val="22"/>
          <w:szCs w:val="22"/>
        </w:rPr>
      </w:pPr>
      <w:r w:rsidRPr="00F2068A">
        <w:rPr>
          <w:rFonts w:asciiTheme="minorHAnsi" w:hAnsiTheme="minorHAnsi"/>
          <w:sz w:val="22"/>
          <w:szCs w:val="22"/>
        </w:rPr>
        <w:t>Účastníci jsou povinni podat nabídku v uzavřené obálce; označené:</w:t>
      </w:r>
    </w:p>
    <w:p w14:paraId="5A89F560" w14:textId="77777777" w:rsidR="002A1846" w:rsidRPr="00F2068A" w:rsidRDefault="008C79FA" w:rsidP="002A1846">
      <w:pPr>
        <w:pStyle w:val="Odstavecseseznamem"/>
        <w:numPr>
          <w:ilvl w:val="0"/>
          <w:numId w:val="3"/>
        </w:numPr>
        <w:spacing w:before="120" w:after="120"/>
        <w:ind w:left="426" w:hanging="426"/>
        <w:jc w:val="both"/>
        <w:rPr>
          <w:rFonts w:asciiTheme="minorHAnsi" w:hAnsiTheme="minorHAnsi"/>
          <w:sz w:val="22"/>
          <w:szCs w:val="22"/>
        </w:rPr>
      </w:pPr>
      <w:r>
        <w:rPr>
          <w:rFonts w:asciiTheme="minorHAnsi" w:hAnsiTheme="minorHAnsi"/>
          <w:sz w:val="22"/>
          <w:szCs w:val="22"/>
        </w:rPr>
        <w:t>Nápisem NEOTEVÍRAT.</w:t>
      </w:r>
    </w:p>
    <w:p w14:paraId="79975277" w14:textId="0C37A0B6" w:rsidR="002A1846" w:rsidRPr="009B3308" w:rsidRDefault="002A1846" w:rsidP="0077201D">
      <w:pPr>
        <w:pStyle w:val="Odstavecseseznamem"/>
        <w:numPr>
          <w:ilvl w:val="0"/>
          <w:numId w:val="3"/>
        </w:numPr>
        <w:ind w:left="426" w:hanging="426"/>
        <w:jc w:val="both"/>
        <w:rPr>
          <w:rFonts w:asciiTheme="minorHAnsi" w:hAnsiTheme="minorHAnsi"/>
          <w:bCs/>
          <w:sz w:val="22"/>
          <w:szCs w:val="22"/>
        </w:rPr>
      </w:pPr>
      <w:r w:rsidRPr="00F2068A">
        <w:rPr>
          <w:rFonts w:asciiTheme="minorHAnsi" w:hAnsiTheme="minorHAnsi"/>
          <w:sz w:val="22"/>
          <w:szCs w:val="22"/>
        </w:rPr>
        <w:t>Názvem veřejné zakázky „</w:t>
      </w:r>
      <w:r w:rsidR="0077201D" w:rsidRPr="0077201D">
        <w:rPr>
          <w:rFonts w:asciiTheme="minorHAnsi" w:hAnsiTheme="minorHAnsi"/>
          <w:b/>
          <w:bCs/>
          <w:sz w:val="22"/>
          <w:szCs w:val="22"/>
        </w:rPr>
        <w:t>VÝSTAVBA KAMEROVÉHO SYSTÉMU PRO MONITOROVÁNÍ VJEZDU DO ZÓN S DOPRAVNÍM OMEZENÍM V CENTRÁLNÍ ČÁSTI MĚSTA BRNA</w:t>
      </w:r>
      <w:r w:rsidR="007C2F6B">
        <w:rPr>
          <w:rFonts w:asciiTheme="minorHAnsi" w:hAnsiTheme="minorHAnsi"/>
          <w:b/>
          <w:bCs/>
          <w:sz w:val="22"/>
          <w:szCs w:val="22"/>
        </w:rPr>
        <w:t>.</w:t>
      </w:r>
      <w:r w:rsidRPr="00F2068A">
        <w:rPr>
          <w:rFonts w:asciiTheme="minorHAnsi" w:hAnsiTheme="minorHAnsi"/>
          <w:bCs/>
          <w:sz w:val="22"/>
          <w:szCs w:val="22"/>
        </w:rPr>
        <w:t>“</w:t>
      </w:r>
      <w:r w:rsidR="008C79FA">
        <w:rPr>
          <w:rFonts w:asciiTheme="minorHAnsi" w:hAnsiTheme="minorHAnsi"/>
          <w:sz w:val="22"/>
          <w:szCs w:val="22"/>
        </w:rPr>
        <w:t>.</w:t>
      </w:r>
    </w:p>
    <w:p w14:paraId="3D43A354" w14:textId="77777777" w:rsidR="002A1846" w:rsidRPr="00F2068A" w:rsidRDefault="008C79FA" w:rsidP="002A1846">
      <w:pPr>
        <w:pStyle w:val="Odstavecseseznamem"/>
        <w:numPr>
          <w:ilvl w:val="0"/>
          <w:numId w:val="3"/>
        </w:numPr>
        <w:spacing w:before="120" w:after="120"/>
        <w:ind w:left="426" w:hanging="426"/>
        <w:jc w:val="both"/>
        <w:rPr>
          <w:rFonts w:asciiTheme="minorHAnsi" w:hAnsiTheme="minorHAnsi"/>
          <w:sz w:val="22"/>
          <w:szCs w:val="22"/>
        </w:rPr>
      </w:pPr>
      <w:r>
        <w:rPr>
          <w:rFonts w:asciiTheme="minorHAnsi" w:hAnsiTheme="minorHAnsi"/>
          <w:sz w:val="22"/>
          <w:szCs w:val="22"/>
        </w:rPr>
        <w:lastRenderedPageBreak/>
        <w:t>Názvem účastníka.</w:t>
      </w:r>
    </w:p>
    <w:p w14:paraId="66DDB058" w14:textId="77777777" w:rsidR="002A1846" w:rsidRPr="00F2068A" w:rsidRDefault="002A1846" w:rsidP="002A1846">
      <w:pPr>
        <w:pStyle w:val="Odstavecseseznamem"/>
        <w:numPr>
          <w:ilvl w:val="0"/>
          <w:numId w:val="3"/>
        </w:numPr>
        <w:spacing w:before="120" w:after="120"/>
        <w:ind w:left="426" w:hanging="426"/>
        <w:jc w:val="both"/>
        <w:rPr>
          <w:rFonts w:asciiTheme="minorHAnsi" w:hAnsiTheme="minorHAnsi"/>
          <w:sz w:val="22"/>
          <w:szCs w:val="22"/>
        </w:rPr>
      </w:pPr>
      <w:r w:rsidRPr="00F2068A">
        <w:rPr>
          <w:rFonts w:asciiTheme="minorHAnsi" w:hAnsiTheme="minorHAnsi"/>
          <w:sz w:val="22"/>
          <w:szCs w:val="22"/>
        </w:rPr>
        <w:t>Adresou, na niž je možné zaslat oznámení o tom, že nabídka byla podána po up</w:t>
      </w:r>
      <w:r w:rsidR="008C79FA">
        <w:rPr>
          <w:rFonts w:asciiTheme="minorHAnsi" w:hAnsiTheme="minorHAnsi"/>
          <w:sz w:val="22"/>
          <w:szCs w:val="22"/>
        </w:rPr>
        <w:t>lynutí lhůty pro podání nabídek.</w:t>
      </w:r>
    </w:p>
    <w:p w14:paraId="61C31036" w14:textId="77777777" w:rsidR="008C79FA" w:rsidRPr="008C79FA" w:rsidRDefault="008C79FA" w:rsidP="008C79FA">
      <w:pPr>
        <w:spacing w:before="120" w:after="120"/>
        <w:jc w:val="both"/>
        <w:rPr>
          <w:rFonts w:asciiTheme="minorHAnsi" w:hAnsiTheme="minorHAnsi"/>
          <w:b/>
          <w:sz w:val="22"/>
          <w:szCs w:val="22"/>
        </w:rPr>
      </w:pPr>
      <w:r w:rsidRPr="008C79FA">
        <w:rPr>
          <w:rFonts w:asciiTheme="minorHAnsi" w:hAnsiTheme="minorHAnsi"/>
          <w:b/>
          <w:sz w:val="22"/>
          <w:szCs w:val="22"/>
        </w:rPr>
        <w:t>Zadavatel doporučuje sešít jednotlivé listy nabídky tak, aby s nimi nebylo možné manipulovat, vyjma návrhů smluv.</w:t>
      </w:r>
    </w:p>
    <w:p w14:paraId="1351C535" w14:textId="72998900" w:rsidR="002A1846" w:rsidRDefault="008C79FA" w:rsidP="008C79FA">
      <w:pPr>
        <w:spacing w:before="120" w:after="120"/>
        <w:jc w:val="both"/>
        <w:rPr>
          <w:rFonts w:asciiTheme="minorHAnsi" w:hAnsiTheme="minorHAnsi"/>
          <w:sz w:val="22"/>
          <w:szCs w:val="22"/>
        </w:rPr>
      </w:pPr>
      <w:r w:rsidRPr="008C79FA">
        <w:rPr>
          <w:rFonts w:asciiTheme="minorHAnsi" w:hAnsiTheme="minorHAnsi"/>
          <w:sz w:val="22"/>
          <w:szCs w:val="22"/>
        </w:rPr>
        <w:t>Za včasné podání nabídky odpovídá Účastník. Zadavatel neuznává zdržení zaviněné poštou, kurýrní službou či jiným přepravcem nabídky.</w:t>
      </w:r>
    </w:p>
    <w:p w14:paraId="0729C727" w14:textId="77777777" w:rsidR="006A539C" w:rsidRDefault="006A539C" w:rsidP="008C79FA">
      <w:pPr>
        <w:spacing w:before="120" w:after="120"/>
        <w:jc w:val="both"/>
        <w:rPr>
          <w:rFonts w:asciiTheme="minorHAnsi" w:hAnsiTheme="minorHAnsi"/>
          <w:sz w:val="22"/>
          <w:szCs w:val="22"/>
        </w:rPr>
      </w:pPr>
    </w:p>
    <w:p w14:paraId="05E48146" w14:textId="77777777" w:rsidR="002A1846" w:rsidRPr="00F2068A" w:rsidRDefault="002A1846" w:rsidP="002A1846">
      <w:pPr>
        <w:numPr>
          <w:ilvl w:val="0"/>
          <w:numId w:val="4"/>
        </w:numPr>
        <w:tabs>
          <w:tab w:val="num" w:pos="851"/>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 xml:space="preserve"> Otevírání obálek s nabídkami</w:t>
      </w:r>
    </w:p>
    <w:tbl>
      <w:tblPr>
        <w:tblW w:w="9468" w:type="dxa"/>
        <w:tblLook w:val="01E0" w:firstRow="1" w:lastRow="1" w:firstColumn="1" w:lastColumn="1" w:noHBand="0" w:noVBand="0"/>
      </w:tblPr>
      <w:tblGrid>
        <w:gridCol w:w="1368"/>
        <w:gridCol w:w="8100"/>
      </w:tblGrid>
      <w:tr w:rsidR="002A1846" w:rsidRPr="00F2068A" w14:paraId="209D0BA5" w14:textId="77777777" w:rsidTr="002646BE">
        <w:tc>
          <w:tcPr>
            <w:tcW w:w="1368" w:type="dxa"/>
          </w:tcPr>
          <w:p w14:paraId="2A401506" w14:textId="77777777" w:rsidR="002A1846" w:rsidRPr="00F2068A" w:rsidRDefault="002A1846" w:rsidP="002646BE">
            <w:pPr>
              <w:spacing w:before="120" w:after="120"/>
              <w:jc w:val="both"/>
              <w:rPr>
                <w:rFonts w:asciiTheme="minorHAnsi" w:hAnsiTheme="minorHAnsi"/>
              </w:rPr>
            </w:pPr>
            <w:r w:rsidRPr="00F2068A">
              <w:rPr>
                <w:rFonts w:asciiTheme="minorHAnsi" w:hAnsiTheme="minorHAnsi"/>
                <w:sz w:val="22"/>
                <w:szCs w:val="22"/>
              </w:rPr>
              <w:t xml:space="preserve">Termín </w:t>
            </w:r>
          </w:p>
        </w:tc>
        <w:tc>
          <w:tcPr>
            <w:tcW w:w="8100" w:type="dxa"/>
          </w:tcPr>
          <w:p w14:paraId="777362AA" w14:textId="2A8B876F" w:rsidR="002A1846" w:rsidRPr="00F2068A" w:rsidRDefault="00353676" w:rsidP="0079691F">
            <w:pPr>
              <w:spacing w:before="120" w:after="120"/>
              <w:jc w:val="both"/>
              <w:rPr>
                <w:rFonts w:asciiTheme="minorHAnsi" w:hAnsiTheme="minorHAnsi"/>
                <w:b/>
              </w:rPr>
            </w:pPr>
            <w:r>
              <w:rPr>
                <w:rFonts w:asciiTheme="minorHAnsi" w:hAnsiTheme="minorHAnsi"/>
                <w:b/>
                <w:sz w:val="22"/>
                <w:szCs w:val="22"/>
              </w:rPr>
              <w:t>25.07</w:t>
            </w:r>
            <w:r w:rsidR="002A1846" w:rsidRPr="0009475D">
              <w:rPr>
                <w:rFonts w:asciiTheme="minorHAnsi" w:hAnsiTheme="minorHAnsi"/>
                <w:b/>
                <w:sz w:val="22"/>
                <w:szCs w:val="22"/>
              </w:rPr>
              <w:t>.201</w:t>
            </w:r>
            <w:r w:rsidR="0079691F" w:rsidRPr="0009475D">
              <w:rPr>
                <w:rFonts w:asciiTheme="minorHAnsi" w:hAnsiTheme="minorHAnsi"/>
                <w:b/>
                <w:sz w:val="22"/>
                <w:szCs w:val="22"/>
              </w:rPr>
              <w:t xml:space="preserve">8, </w:t>
            </w:r>
            <w:r w:rsidR="002A1846" w:rsidRPr="0009475D">
              <w:rPr>
                <w:rFonts w:asciiTheme="minorHAnsi" w:hAnsiTheme="minorHAnsi"/>
                <w:b/>
                <w:sz w:val="22"/>
                <w:szCs w:val="22"/>
              </w:rPr>
              <w:t>0</w:t>
            </w:r>
            <w:r>
              <w:rPr>
                <w:rFonts w:asciiTheme="minorHAnsi" w:hAnsiTheme="minorHAnsi"/>
                <w:b/>
                <w:sz w:val="22"/>
                <w:szCs w:val="22"/>
              </w:rPr>
              <w:t>9</w:t>
            </w:r>
            <w:r w:rsidR="002A1846" w:rsidRPr="0009475D">
              <w:rPr>
                <w:rFonts w:asciiTheme="minorHAnsi" w:hAnsiTheme="minorHAnsi"/>
                <w:b/>
                <w:sz w:val="22"/>
                <w:szCs w:val="22"/>
              </w:rPr>
              <w:t>:</w:t>
            </w:r>
            <w:r w:rsidR="0079691F" w:rsidRPr="0009475D">
              <w:rPr>
                <w:rFonts w:asciiTheme="minorHAnsi" w:hAnsiTheme="minorHAnsi"/>
                <w:b/>
                <w:sz w:val="22"/>
                <w:szCs w:val="22"/>
              </w:rPr>
              <w:t>15</w:t>
            </w:r>
            <w:r w:rsidR="002A1846" w:rsidRPr="0009475D">
              <w:rPr>
                <w:rFonts w:asciiTheme="minorHAnsi" w:hAnsiTheme="minorHAnsi"/>
                <w:b/>
                <w:sz w:val="22"/>
                <w:szCs w:val="22"/>
              </w:rPr>
              <w:t xml:space="preserve"> hod.</w:t>
            </w:r>
          </w:p>
        </w:tc>
      </w:tr>
      <w:tr w:rsidR="002A1846" w:rsidRPr="00F2068A" w14:paraId="3E8208E6" w14:textId="77777777" w:rsidTr="002646BE">
        <w:tc>
          <w:tcPr>
            <w:tcW w:w="1368" w:type="dxa"/>
          </w:tcPr>
          <w:p w14:paraId="43D48465" w14:textId="77777777" w:rsidR="002A1846" w:rsidRPr="00F2068A" w:rsidRDefault="002A1846" w:rsidP="002646BE">
            <w:pPr>
              <w:spacing w:before="120" w:after="120"/>
              <w:jc w:val="both"/>
              <w:rPr>
                <w:rFonts w:asciiTheme="minorHAnsi" w:hAnsiTheme="minorHAnsi"/>
              </w:rPr>
            </w:pPr>
            <w:r w:rsidRPr="00F2068A">
              <w:rPr>
                <w:rFonts w:asciiTheme="minorHAnsi" w:hAnsiTheme="minorHAnsi"/>
                <w:sz w:val="22"/>
                <w:szCs w:val="22"/>
              </w:rPr>
              <w:t xml:space="preserve">Místo </w:t>
            </w:r>
          </w:p>
        </w:tc>
        <w:tc>
          <w:tcPr>
            <w:tcW w:w="8100" w:type="dxa"/>
          </w:tcPr>
          <w:p w14:paraId="4AE7ED29" w14:textId="77777777" w:rsidR="002A1846" w:rsidRPr="00F2068A" w:rsidRDefault="002A1846" w:rsidP="00271E0D">
            <w:pPr>
              <w:spacing w:before="120" w:after="120"/>
              <w:jc w:val="both"/>
              <w:rPr>
                <w:rFonts w:asciiTheme="minorHAnsi" w:hAnsiTheme="minorHAnsi"/>
              </w:rPr>
            </w:pPr>
            <w:r w:rsidRPr="00F2068A">
              <w:rPr>
                <w:rFonts w:asciiTheme="minorHAnsi" w:hAnsiTheme="minorHAnsi"/>
                <w:sz w:val="22"/>
                <w:szCs w:val="22"/>
              </w:rPr>
              <w:t>Brněnské komunikace a.s., Renneská tř</w:t>
            </w:r>
            <w:r w:rsidR="00271E0D">
              <w:rPr>
                <w:rFonts w:asciiTheme="minorHAnsi" w:hAnsiTheme="minorHAnsi"/>
                <w:sz w:val="22"/>
                <w:szCs w:val="22"/>
              </w:rPr>
              <w:t>ída</w:t>
            </w:r>
            <w:r w:rsidRPr="00F2068A">
              <w:rPr>
                <w:rFonts w:asciiTheme="minorHAnsi" w:hAnsiTheme="minorHAnsi"/>
                <w:sz w:val="22"/>
                <w:szCs w:val="22"/>
              </w:rPr>
              <w:t xml:space="preserve"> 787/1a, 639 00 Brno.</w:t>
            </w:r>
          </w:p>
        </w:tc>
      </w:tr>
    </w:tbl>
    <w:p w14:paraId="1D9C3294" w14:textId="77777777" w:rsidR="002A1846" w:rsidRPr="00F2068A" w:rsidRDefault="002A1846" w:rsidP="002A1846">
      <w:pPr>
        <w:tabs>
          <w:tab w:val="num" w:pos="567"/>
        </w:tabs>
        <w:spacing w:before="120" w:after="120"/>
        <w:jc w:val="both"/>
        <w:rPr>
          <w:rFonts w:asciiTheme="minorHAnsi" w:hAnsiTheme="minorHAnsi"/>
          <w:sz w:val="22"/>
          <w:szCs w:val="22"/>
        </w:rPr>
      </w:pPr>
      <w:r w:rsidRPr="00F2068A">
        <w:rPr>
          <w:rFonts w:asciiTheme="minorHAnsi" w:hAnsiTheme="minorHAnsi"/>
          <w:sz w:val="22"/>
          <w:szCs w:val="22"/>
        </w:rPr>
        <w:t xml:space="preserve">Při otevírání obálek mají právo být přítomni kromě zadavatele, členů komise, osob, u kterých tak určí zadavatel, také zástupci účastníků, jejichž nabídky byly zadavateli doručeny ve lhůtě pro podání nabídek. Pokud se na otevírání obálek dostaví zástupce účastníka, jehož oprávnění zastupovat účastníka nevyplývá z dokladů předložených v nabídce, předloží zástupce účastníka plnou moc či pověření k účasti na otevírání obálek </w:t>
      </w:r>
      <w:r w:rsidR="00FD7136">
        <w:rPr>
          <w:rFonts w:asciiTheme="minorHAnsi" w:hAnsiTheme="minorHAnsi"/>
          <w:sz w:val="22"/>
          <w:szCs w:val="22"/>
        </w:rPr>
        <w:t xml:space="preserve">s nabídkami </w:t>
      </w:r>
      <w:r w:rsidRPr="00F2068A">
        <w:rPr>
          <w:rFonts w:asciiTheme="minorHAnsi" w:hAnsiTheme="minorHAnsi"/>
          <w:sz w:val="22"/>
          <w:szCs w:val="22"/>
        </w:rPr>
        <w:t>za účastníka.</w:t>
      </w:r>
    </w:p>
    <w:p w14:paraId="0C4D1523" w14:textId="77777777" w:rsidR="002A1846" w:rsidRPr="00F2068A" w:rsidRDefault="002A1846" w:rsidP="002A1846">
      <w:pPr>
        <w:tabs>
          <w:tab w:val="num" w:pos="567"/>
        </w:tabs>
        <w:spacing w:before="120" w:after="120"/>
        <w:jc w:val="both"/>
        <w:rPr>
          <w:rFonts w:asciiTheme="minorHAnsi" w:hAnsiTheme="minorHAnsi"/>
          <w:sz w:val="22"/>
          <w:szCs w:val="22"/>
        </w:rPr>
      </w:pPr>
    </w:p>
    <w:p w14:paraId="04308A21" w14:textId="77777777" w:rsidR="002A1846" w:rsidRPr="00F2068A" w:rsidRDefault="002A1846" w:rsidP="002A1846">
      <w:pPr>
        <w:numPr>
          <w:ilvl w:val="0"/>
          <w:numId w:val="4"/>
        </w:numPr>
        <w:tabs>
          <w:tab w:val="clear" w:pos="7808"/>
          <w:tab w:val="num" w:pos="567"/>
        </w:tabs>
        <w:spacing w:before="120" w:after="120"/>
        <w:ind w:left="567" w:hanging="567"/>
        <w:jc w:val="both"/>
        <w:rPr>
          <w:rFonts w:asciiTheme="minorHAnsi" w:hAnsiTheme="minorHAnsi"/>
          <w:b/>
          <w:smallCaps/>
          <w:spacing w:val="20"/>
          <w:sz w:val="22"/>
          <w:szCs w:val="22"/>
        </w:rPr>
      </w:pPr>
      <w:r w:rsidRPr="00F2068A">
        <w:rPr>
          <w:rFonts w:asciiTheme="minorHAnsi" w:hAnsiTheme="minorHAnsi"/>
          <w:b/>
          <w:smallCaps/>
          <w:spacing w:val="20"/>
          <w:sz w:val="22"/>
          <w:szCs w:val="22"/>
        </w:rPr>
        <w:t xml:space="preserve">Vysvětlení, změna nebo doplnění zadávací dokumentace </w:t>
      </w:r>
    </w:p>
    <w:p w14:paraId="148D4BDF" w14:textId="77777777" w:rsidR="00D32815" w:rsidRPr="00D32815" w:rsidRDefault="00D32815" w:rsidP="00D32815">
      <w:pPr>
        <w:tabs>
          <w:tab w:val="num" w:pos="567"/>
        </w:tabs>
        <w:spacing w:before="120" w:after="120"/>
        <w:jc w:val="both"/>
        <w:rPr>
          <w:rFonts w:asciiTheme="minorHAnsi" w:hAnsiTheme="minorHAnsi"/>
          <w:sz w:val="22"/>
          <w:szCs w:val="22"/>
        </w:rPr>
      </w:pPr>
      <w:r w:rsidRPr="00D32815">
        <w:rPr>
          <w:rFonts w:asciiTheme="minorHAnsi" w:hAnsiTheme="minorHAnsi"/>
          <w:sz w:val="22"/>
          <w:szCs w:val="22"/>
        </w:rPr>
        <w:t xml:space="preserve">Přestože tato zadávací dokumentace vymezuje předmět veřejné zakázky v podrobnostech nezbytných pro zpracování nabídky, mohou dodavatelé požadovat vysvětlení zadávacích podmínek. Písemná (emailová) žádost musí být zadavateli doručena nejpozději 7 pracovních dní před koncem lhůty pro podání nabídek. </w:t>
      </w:r>
    </w:p>
    <w:p w14:paraId="0BA45DB7" w14:textId="77777777" w:rsidR="00D32815" w:rsidRPr="00D32815" w:rsidRDefault="00D32815" w:rsidP="00D32815">
      <w:pPr>
        <w:tabs>
          <w:tab w:val="num" w:pos="567"/>
        </w:tabs>
        <w:spacing w:before="120" w:after="120"/>
        <w:jc w:val="both"/>
        <w:rPr>
          <w:rFonts w:asciiTheme="minorHAnsi" w:hAnsiTheme="minorHAnsi"/>
          <w:sz w:val="22"/>
          <w:szCs w:val="22"/>
        </w:rPr>
      </w:pPr>
      <w:r w:rsidRPr="00D32815">
        <w:rPr>
          <w:rFonts w:asciiTheme="minorHAnsi" w:hAnsiTheme="minorHAnsi"/>
          <w:sz w:val="22"/>
          <w:szCs w:val="22"/>
        </w:rPr>
        <w:t>Žádosti o vysvětlení zadávací dokumentace mohou dodavatelé zasílat prostřednictvím e-mailové adresy k rukám osoby uvedené v čl. I této výzvy. V žádosti o vysvětlení zadávací dokumentace musí být uvedeny identifikační a kontaktní údaje dodavatele a informace o tom, ke které veřejné zakázce se žádost vztahuje. Zadavatel v zákonné lhůtě 3 pracovních dní uveřejní vysvětlení zadávací dokumentace včetně přesného znění žádosti na profilu zadavatele.</w:t>
      </w:r>
    </w:p>
    <w:p w14:paraId="23EA3E94" w14:textId="3BABF5B2" w:rsidR="002A1846" w:rsidRPr="00F2068A" w:rsidRDefault="00D32815" w:rsidP="00D32815">
      <w:pPr>
        <w:tabs>
          <w:tab w:val="num" w:pos="567"/>
        </w:tabs>
        <w:spacing w:before="120" w:after="120"/>
        <w:jc w:val="both"/>
        <w:rPr>
          <w:rFonts w:asciiTheme="minorHAnsi" w:hAnsiTheme="minorHAnsi"/>
          <w:sz w:val="22"/>
          <w:szCs w:val="22"/>
        </w:rPr>
      </w:pPr>
      <w:r w:rsidRPr="00D32815">
        <w:rPr>
          <w:rFonts w:asciiTheme="minorHAnsi" w:hAnsiTheme="minorHAnsi"/>
          <w:sz w:val="22"/>
          <w:szCs w:val="22"/>
        </w:rPr>
        <w:t>Zadavatel je oprávněn uveřejnit na profilu zadavatele za podmínek § 98 odst. 1 vysvětlení zadávací dokumentace i z vlastního podnětu. Dle § 99 může takto rovněž uveřejnit změnu nebo doplnění zadávací dokumentace</w:t>
      </w:r>
      <w:r w:rsidR="002A1846" w:rsidRPr="00F2068A">
        <w:rPr>
          <w:rFonts w:asciiTheme="minorHAnsi" w:hAnsiTheme="minorHAnsi"/>
          <w:sz w:val="22"/>
          <w:szCs w:val="22"/>
        </w:rPr>
        <w:t>.</w:t>
      </w:r>
    </w:p>
    <w:p w14:paraId="6C6F7B05" w14:textId="77777777" w:rsidR="002A1846" w:rsidRPr="00F2068A" w:rsidRDefault="002A1846" w:rsidP="002A1846">
      <w:pPr>
        <w:spacing w:before="120" w:after="120"/>
        <w:jc w:val="both"/>
        <w:rPr>
          <w:rFonts w:asciiTheme="minorHAnsi" w:hAnsiTheme="minorHAnsi"/>
          <w:b/>
          <w:smallCaps/>
          <w:spacing w:val="20"/>
          <w:sz w:val="22"/>
          <w:szCs w:val="22"/>
        </w:rPr>
      </w:pPr>
    </w:p>
    <w:p w14:paraId="0BCF650F" w14:textId="77777777" w:rsidR="002A1846" w:rsidRPr="00F2068A" w:rsidRDefault="002A1846" w:rsidP="002A1846">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t>Další podmínky</w:t>
      </w:r>
    </w:p>
    <w:p w14:paraId="2E6495D7" w14:textId="366D02CD" w:rsidR="002A1846" w:rsidRPr="00F2068A" w:rsidRDefault="002A1846" w:rsidP="002A1846">
      <w:pPr>
        <w:spacing w:before="120" w:after="120"/>
        <w:jc w:val="both"/>
        <w:rPr>
          <w:rFonts w:asciiTheme="minorHAnsi" w:hAnsiTheme="minorHAnsi"/>
          <w:sz w:val="22"/>
          <w:szCs w:val="22"/>
        </w:rPr>
      </w:pPr>
      <w:r w:rsidRPr="00F2068A">
        <w:rPr>
          <w:rFonts w:asciiTheme="minorHAnsi" w:hAnsiTheme="minorHAnsi"/>
          <w:sz w:val="22"/>
          <w:szCs w:val="22"/>
        </w:rPr>
        <w:t xml:space="preserve">Zadavatel stanovuje zadávací </w:t>
      </w:r>
      <w:r w:rsidRPr="008E38F8">
        <w:rPr>
          <w:rFonts w:asciiTheme="minorHAnsi" w:hAnsiTheme="minorHAnsi"/>
          <w:sz w:val="22"/>
          <w:szCs w:val="22"/>
        </w:rPr>
        <w:t xml:space="preserve">lhůtu v délce </w:t>
      </w:r>
      <w:r w:rsidR="007C2F6B">
        <w:rPr>
          <w:rFonts w:asciiTheme="minorHAnsi" w:hAnsiTheme="minorHAnsi"/>
          <w:sz w:val="22"/>
          <w:szCs w:val="22"/>
        </w:rPr>
        <w:t>6</w:t>
      </w:r>
      <w:r w:rsidRPr="008E38F8">
        <w:rPr>
          <w:rFonts w:asciiTheme="minorHAnsi" w:hAnsiTheme="minorHAnsi"/>
          <w:sz w:val="22"/>
          <w:szCs w:val="22"/>
        </w:rPr>
        <w:t xml:space="preserve"> měsíců.</w:t>
      </w:r>
    </w:p>
    <w:p w14:paraId="63D52515" w14:textId="77777777" w:rsidR="002A1846" w:rsidRPr="00F2068A" w:rsidRDefault="002A1846" w:rsidP="002A1846">
      <w:pPr>
        <w:spacing w:before="120" w:after="120"/>
        <w:jc w:val="both"/>
        <w:rPr>
          <w:rFonts w:asciiTheme="minorHAnsi" w:hAnsiTheme="minorHAnsi"/>
          <w:sz w:val="22"/>
          <w:szCs w:val="22"/>
        </w:rPr>
      </w:pPr>
      <w:r w:rsidRPr="00F2068A">
        <w:rPr>
          <w:rFonts w:asciiTheme="minorHAnsi" w:hAnsiTheme="minorHAnsi"/>
          <w:sz w:val="22"/>
          <w:szCs w:val="22"/>
        </w:rPr>
        <w:t xml:space="preserve">V souladu s §86 odst. 3 ZZVZ bude zadavatel požadovat od vybraného dodavatele před uzavřením smlouvy předložení originálů nebo ověřených kopií dokladů o kvalifikaci, pokud již nebyly dodavatelem předloženy v zadávacím řízení. </w:t>
      </w:r>
    </w:p>
    <w:p w14:paraId="775D4F7E" w14:textId="77777777" w:rsidR="00D32815" w:rsidRPr="00D32815" w:rsidRDefault="00D32815" w:rsidP="00D32815">
      <w:pPr>
        <w:spacing w:before="120" w:after="120"/>
        <w:jc w:val="both"/>
        <w:rPr>
          <w:rFonts w:asciiTheme="minorHAnsi" w:hAnsiTheme="minorHAnsi"/>
          <w:sz w:val="22"/>
          <w:szCs w:val="22"/>
        </w:rPr>
      </w:pPr>
      <w:bookmarkStart w:id="6" w:name="_Hlk506386021"/>
      <w:r w:rsidRPr="00D32815">
        <w:rPr>
          <w:rFonts w:asciiTheme="minorHAnsi" w:hAnsiTheme="minorHAnsi"/>
          <w:sz w:val="22"/>
          <w:szCs w:val="22"/>
        </w:rPr>
        <w:t>Pokud je vybraný dodavatel právnickou osobou a zadavatel nemůže zjistit údaje o skutečném majiteli vybraného dodavatele postupem podle § 122 odst. 4 ZZVZ, vyzve vybraného dodavatele před uzavřením smlouvy k předložení dokladů dle § 122 odst. 5 ZZVZ. Vybraný dodavatel je povinen zadavateli na základě písemné výzvy ve smyslu § 122 odst. 5 ZZVZ předložit:</w:t>
      </w:r>
    </w:p>
    <w:p w14:paraId="51BF7C06" w14:textId="77777777" w:rsidR="00D32815" w:rsidRPr="00D32815" w:rsidRDefault="00D32815" w:rsidP="00237A56">
      <w:pPr>
        <w:spacing w:before="120" w:after="120"/>
        <w:ind w:left="993" w:hanging="426"/>
        <w:jc w:val="both"/>
        <w:rPr>
          <w:rFonts w:asciiTheme="minorHAnsi" w:hAnsiTheme="minorHAnsi"/>
          <w:sz w:val="22"/>
          <w:szCs w:val="22"/>
        </w:rPr>
      </w:pPr>
      <w:r w:rsidRPr="00D32815">
        <w:rPr>
          <w:rFonts w:asciiTheme="minorHAnsi" w:hAnsiTheme="minorHAnsi"/>
          <w:sz w:val="22"/>
          <w:szCs w:val="22"/>
        </w:rPr>
        <w:lastRenderedPageBreak/>
        <w:t>a)</w:t>
      </w:r>
      <w:r w:rsidRPr="00D32815">
        <w:rPr>
          <w:rFonts w:asciiTheme="minorHAnsi" w:hAnsiTheme="minorHAnsi"/>
          <w:sz w:val="22"/>
          <w:szCs w:val="22"/>
        </w:rPr>
        <w:tab/>
        <w:t>identifikační údaje všech osob, které jsou skutečným majitelem vybraného dodavatele podle zákona o některých opatřeních proti legalizaci výnosů z trestné činnosti a financování terorismu,</w:t>
      </w:r>
    </w:p>
    <w:p w14:paraId="3A05D7B5" w14:textId="77777777" w:rsidR="00D32815" w:rsidRPr="00D32815" w:rsidRDefault="00D32815" w:rsidP="00237A56">
      <w:pPr>
        <w:spacing w:before="120" w:after="120"/>
        <w:ind w:left="993" w:hanging="426"/>
        <w:jc w:val="both"/>
        <w:rPr>
          <w:rFonts w:asciiTheme="minorHAnsi" w:hAnsiTheme="minorHAnsi"/>
          <w:sz w:val="22"/>
          <w:szCs w:val="22"/>
        </w:rPr>
      </w:pPr>
      <w:r w:rsidRPr="00D32815">
        <w:rPr>
          <w:rFonts w:asciiTheme="minorHAnsi" w:hAnsiTheme="minorHAnsi"/>
          <w:sz w:val="22"/>
          <w:szCs w:val="22"/>
        </w:rPr>
        <w:t>b)</w:t>
      </w:r>
      <w:r w:rsidRPr="00D32815">
        <w:rPr>
          <w:rFonts w:asciiTheme="minorHAnsi" w:hAnsiTheme="minorHAnsi"/>
          <w:sz w:val="22"/>
          <w:szCs w:val="22"/>
        </w:rPr>
        <w:tab/>
        <w:t>doklady, z nichž vyplývá vztah všech osob podle písm. a) tohoto bodu k dodavateli; těmito doklady jsou například</w:t>
      </w:r>
    </w:p>
    <w:p w14:paraId="0D311951" w14:textId="77777777" w:rsidR="00D32815" w:rsidRPr="00D32815" w:rsidRDefault="00D32815" w:rsidP="00D32815">
      <w:pPr>
        <w:numPr>
          <w:ilvl w:val="0"/>
          <w:numId w:val="16"/>
        </w:numPr>
        <w:spacing w:before="120" w:after="120"/>
        <w:jc w:val="both"/>
        <w:rPr>
          <w:rFonts w:asciiTheme="minorHAnsi" w:hAnsiTheme="minorHAnsi"/>
          <w:sz w:val="22"/>
          <w:szCs w:val="22"/>
        </w:rPr>
      </w:pPr>
      <w:r w:rsidRPr="00D32815">
        <w:rPr>
          <w:rFonts w:asciiTheme="minorHAnsi" w:hAnsiTheme="minorHAnsi"/>
          <w:sz w:val="22"/>
          <w:szCs w:val="22"/>
        </w:rPr>
        <w:t>výpis z obchodního rejstříku nebo jiné obdobné evidence,</w:t>
      </w:r>
    </w:p>
    <w:p w14:paraId="2FA4F4BF" w14:textId="77777777" w:rsidR="00D32815" w:rsidRPr="00D32815" w:rsidRDefault="00D32815" w:rsidP="00D32815">
      <w:pPr>
        <w:numPr>
          <w:ilvl w:val="0"/>
          <w:numId w:val="16"/>
        </w:numPr>
        <w:spacing w:before="120" w:after="120"/>
        <w:jc w:val="both"/>
        <w:rPr>
          <w:rFonts w:asciiTheme="minorHAnsi" w:hAnsiTheme="minorHAnsi"/>
          <w:sz w:val="22"/>
          <w:szCs w:val="22"/>
        </w:rPr>
      </w:pPr>
      <w:r w:rsidRPr="00D32815">
        <w:rPr>
          <w:rFonts w:asciiTheme="minorHAnsi" w:hAnsiTheme="minorHAnsi"/>
          <w:sz w:val="22"/>
          <w:szCs w:val="22"/>
        </w:rPr>
        <w:t>seznam akcionářů,</w:t>
      </w:r>
    </w:p>
    <w:p w14:paraId="664DFF54" w14:textId="77057F99" w:rsidR="00D32815" w:rsidRDefault="00D32815" w:rsidP="00D32815">
      <w:pPr>
        <w:numPr>
          <w:ilvl w:val="0"/>
          <w:numId w:val="16"/>
        </w:numPr>
        <w:spacing w:before="120" w:after="120"/>
        <w:jc w:val="both"/>
        <w:rPr>
          <w:rFonts w:asciiTheme="minorHAnsi" w:hAnsiTheme="minorHAnsi"/>
          <w:sz w:val="22"/>
          <w:szCs w:val="22"/>
        </w:rPr>
      </w:pPr>
      <w:r w:rsidRPr="00D32815">
        <w:rPr>
          <w:rFonts w:asciiTheme="minorHAnsi" w:hAnsiTheme="minorHAnsi"/>
          <w:sz w:val="22"/>
          <w:szCs w:val="22"/>
        </w:rPr>
        <w:t>rozhodnutí statutárního orgánu o vyplacení podílu na zisku,</w:t>
      </w:r>
    </w:p>
    <w:p w14:paraId="28FD16EE" w14:textId="69B72A3E" w:rsidR="00237A56" w:rsidRPr="00D32815" w:rsidRDefault="00237A56" w:rsidP="00D32815">
      <w:pPr>
        <w:numPr>
          <w:ilvl w:val="0"/>
          <w:numId w:val="16"/>
        </w:numPr>
        <w:spacing w:before="120" w:after="120"/>
        <w:jc w:val="both"/>
        <w:rPr>
          <w:rFonts w:asciiTheme="minorHAnsi" w:hAnsiTheme="minorHAnsi"/>
          <w:sz w:val="22"/>
          <w:szCs w:val="22"/>
        </w:rPr>
      </w:pPr>
      <w:r w:rsidRPr="00237A56">
        <w:rPr>
          <w:rFonts w:asciiTheme="minorHAnsi" w:hAnsiTheme="minorHAnsi"/>
          <w:sz w:val="22"/>
          <w:szCs w:val="22"/>
        </w:rPr>
        <w:t>společenská smlouva, zakladatelská listina nebo stanovy</w:t>
      </w:r>
      <w:r>
        <w:rPr>
          <w:rFonts w:asciiTheme="minorHAnsi" w:hAnsiTheme="minorHAnsi"/>
          <w:sz w:val="22"/>
          <w:szCs w:val="22"/>
        </w:rPr>
        <w:t>.</w:t>
      </w:r>
    </w:p>
    <w:p w14:paraId="465640BC" w14:textId="793E650A" w:rsidR="00A83628" w:rsidRPr="00583F4A" w:rsidRDefault="00A83628" w:rsidP="00A83628">
      <w:pPr>
        <w:spacing w:before="120" w:after="120"/>
        <w:jc w:val="both"/>
        <w:rPr>
          <w:rFonts w:asciiTheme="minorHAnsi" w:hAnsiTheme="minorHAnsi" w:cstheme="minorHAnsi"/>
          <w:sz w:val="22"/>
          <w:szCs w:val="22"/>
        </w:rPr>
      </w:pPr>
      <w:r w:rsidRPr="00B91702">
        <w:rPr>
          <w:rFonts w:asciiTheme="minorHAnsi" w:hAnsiTheme="minorHAnsi" w:cstheme="minorHAnsi"/>
          <w:sz w:val="22"/>
          <w:szCs w:val="22"/>
        </w:rPr>
        <w:t>Zadavatel přijímá pouze nabídky v českém a slovenském jazyku</w:t>
      </w:r>
      <w:bookmarkEnd w:id="6"/>
      <w:r w:rsidRPr="00B91702">
        <w:rPr>
          <w:rFonts w:asciiTheme="minorHAnsi" w:hAnsiTheme="minorHAnsi" w:cstheme="minorHAnsi"/>
          <w:sz w:val="22"/>
          <w:szCs w:val="22"/>
        </w:rPr>
        <w:t>.</w:t>
      </w:r>
    </w:p>
    <w:p w14:paraId="75FE344D" w14:textId="77777777" w:rsidR="00A83628" w:rsidRPr="00A83628" w:rsidRDefault="00A83628" w:rsidP="00A83628">
      <w:pPr>
        <w:spacing w:after="120"/>
        <w:jc w:val="both"/>
        <w:rPr>
          <w:rFonts w:asciiTheme="minorHAnsi" w:hAnsiTheme="minorHAnsi"/>
          <w:sz w:val="22"/>
          <w:szCs w:val="22"/>
        </w:rPr>
      </w:pPr>
      <w:r w:rsidRPr="00A83628">
        <w:rPr>
          <w:rFonts w:asciiTheme="minorHAnsi" w:hAnsiTheme="minorHAnsi"/>
          <w:sz w:val="22"/>
          <w:szCs w:val="22"/>
        </w:rPr>
        <w:t>Není-li to odůvodněno předmětem veřejné zakázky, zadavatel nesmí zvýhodnit nebo znevýhodnit</w:t>
      </w:r>
      <w:r>
        <w:rPr>
          <w:rFonts w:asciiTheme="minorHAnsi" w:hAnsiTheme="minorHAnsi"/>
          <w:sz w:val="22"/>
          <w:szCs w:val="22"/>
        </w:rPr>
        <w:t xml:space="preserve"> </w:t>
      </w:r>
      <w:r w:rsidRPr="00A83628">
        <w:rPr>
          <w:rFonts w:asciiTheme="minorHAnsi" w:hAnsiTheme="minorHAnsi"/>
          <w:sz w:val="22"/>
          <w:szCs w:val="22"/>
        </w:rPr>
        <w:t>určité dodavatele nebo výrobky tím, že technické podmínky stanoví prostřednictvím přímého nebo nepřímého odkazu na a) určité dodavatele nebo výrobky, nebo b) patenty na vynálezy, užitné vzory, průmyslové vzory, ochranné známky nebo označení původu.</w:t>
      </w:r>
      <w:r>
        <w:rPr>
          <w:rFonts w:asciiTheme="minorHAnsi" w:hAnsiTheme="minorHAnsi"/>
          <w:sz w:val="22"/>
          <w:szCs w:val="22"/>
        </w:rPr>
        <w:t xml:space="preserve"> </w:t>
      </w:r>
      <w:r w:rsidRPr="00A83628">
        <w:rPr>
          <w:rFonts w:asciiTheme="minorHAnsi" w:hAnsiTheme="minorHAnsi"/>
          <w:sz w:val="22"/>
          <w:szCs w:val="22"/>
        </w:rPr>
        <w:t>Odkaz podle písm. a) nebo b) může zadavatel použít, pokud stanovení technických podmínek podle odstavce 1 nemůže být dostatečně přesné nebo srozumitelné. V případě, že zadávací podmínky obsahu takového odkazy zadavatel umožňuje nabídnout rovnocenné řešení.</w:t>
      </w:r>
    </w:p>
    <w:p w14:paraId="34295D2B" w14:textId="77777777" w:rsidR="002A1846" w:rsidRPr="00F2068A" w:rsidRDefault="002A1846" w:rsidP="002A1846">
      <w:pPr>
        <w:spacing w:before="120" w:after="120"/>
        <w:jc w:val="both"/>
        <w:rPr>
          <w:rFonts w:asciiTheme="minorHAnsi" w:hAnsiTheme="minorHAnsi"/>
          <w:sz w:val="22"/>
          <w:szCs w:val="22"/>
        </w:rPr>
      </w:pPr>
      <w:r w:rsidRPr="00F2068A">
        <w:rPr>
          <w:rFonts w:asciiTheme="minorHAnsi" w:hAnsiTheme="minorHAnsi"/>
          <w:sz w:val="22"/>
          <w:szCs w:val="22"/>
        </w:rPr>
        <w:t xml:space="preserve">Účastník nemá právo na náhradu nákladů spojených s účastí v zadávacím řízení. Zadavatel nebude hradit žádné výdaje nebo ztráty, které mohou dodavatelům vzniknout v souvislosti s jakýmikoliv aspekty zadávacího řízení. </w:t>
      </w:r>
    </w:p>
    <w:p w14:paraId="31E80361" w14:textId="1F437835" w:rsidR="002A1846" w:rsidRPr="00F2068A" w:rsidRDefault="00BE7243" w:rsidP="002A1846">
      <w:pPr>
        <w:spacing w:before="120" w:after="120"/>
        <w:jc w:val="both"/>
        <w:rPr>
          <w:rFonts w:asciiTheme="minorHAnsi" w:hAnsiTheme="minorHAnsi"/>
          <w:sz w:val="22"/>
          <w:szCs w:val="22"/>
        </w:rPr>
      </w:pPr>
      <w:r>
        <w:rPr>
          <w:rFonts w:asciiTheme="minorHAnsi" w:hAnsiTheme="minorHAnsi"/>
          <w:sz w:val="22"/>
          <w:szCs w:val="22"/>
        </w:rPr>
        <w:t xml:space="preserve">Nabídky se </w:t>
      </w:r>
      <w:r w:rsidR="00237A56">
        <w:rPr>
          <w:rFonts w:asciiTheme="minorHAnsi" w:hAnsiTheme="minorHAnsi"/>
          <w:sz w:val="22"/>
          <w:szCs w:val="22"/>
        </w:rPr>
        <w:t>ú</w:t>
      </w:r>
      <w:r w:rsidR="002A1846" w:rsidRPr="00F2068A">
        <w:rPr>
          <w:rFonts w:asciiTheme="minorHAnsi" w:hAnsiTheme="minorHAnsi"/>
          <w:sz w:val="22"/>
          <w:szCs w:val="22"/>
        </w:rPr>
        <w:t>častníkům nevracejí a zůstávají zadavateli jako součást dokumentace o zadání veřejné zakázky.</w:t>
      </w:r>
    </w:p>
    <w:p w14:paraId="377B6C74" w14:textId="38F17B2E" w:rsidR="002A1846" w:rsidRPr="00F2068A" w:rsidRDefault="00237A56" w:rsidP="002A1846">
      <w:pPr>
        <w:spacing w:before="120" w:after="120"/>
        <w:jc w:val="both"/>
        <w:rPr>
          <w:rFonts w:asciiTheme="minorHAnsi" w:hAnsiTheme="minorHAnsi"/>
          <w:sz w:val="22"/>
          <w:szCs w:val="22"/>
        </w:rPr>
      </w:pPr>
      <w:r>
        <w:rPr>
          <w:rFonts w:asciiTheme="minorHAnsi" w:hAnsiTheme="minorHAnsi"/>
          <w:sz w:val="22"/>
          <w:szCs w:val="22"/>
        </w:rPr>
        <w:t>Z</w:t>
      </w:r>
      <w:r w:rsidR="002A1846" w:rsidRPr="00F2068A">
        <w:rPr>
          <w:rFonts w:asciiTheme="minorHAnsi" w:hAnsiTheme="minorHAnsi"/>
          <w:sz w:val="22"/>
          <w:szCs w:val="22"/>
        </w:rPr>
        <w:t>adavatel upozorňuje na to, že si vyhrazuje právo v souladu s § 48 odst. 5 písm. d) ZZVZ vyloučit účastníka v případě, že se účastník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w:t>
      </w:r>
    </w:p>
    <w:p w14:paraId="39CC2ED6" w14:textId="61D5BA7D" w:rsidR="00723BE1" w:rsidRDefault="00723BE1" w:rsidP="00723BE1">
      <w:pPr>
        <w:spacing w:before="120" w:after="120"/>
        <w:jc w:val="both"/>
        <w:rPr>
          <w:rFonts w:asciiTheme="minorHAnsi" w:hAnsiTheme="minorHAnsi" w:cstheme="minorHAnsi"/>
          <w:sz w:val="22"/>
          <w:szCs w:val="22"/>
        </w:rPr>
      </w:pPr>
      <w:r w:rsidRPr="00723BE1">
        <w:rPr>
          <w:rFonts w:asciiTheme="minorHAnsi" w:hAnsiTheme="minorHAnsi" w:cstheme="minorHAnsi"/>
          <w:sz w:val="22"/>
          <w:szCs w:val="22"/>
        </w:rPr>
        <w:t>Zadavatel</w:t>
      </w:r>
      <w:r>
        <w:rPr>
          <w:rFonts w:asciiTheme="minorHAnsi" w:hAnsiTheme="minorHAnsi" w:cstheme="minorHAnsi"/>
          <w:sz w:val="22"/>
          <w:szCs w:val="22"/>
        </w:rPr>
        <w:t xml:space="preserve"> předpokládá, že bude</w:t>
      </w:r>
      <w:r w:rsidRPr="00723BE1">
        <w:rPr>
          <w:rFonts w:asciiTheme="minorHAnsi" w:hAnsiTheme="minorHAnsi" w:cstheme="minorHAnsi"/>
          <w:sz w:val="22"/>
          <w:szCs w:val="22"/>
        </w:rPr>
        <w:t xml:space="preserve"> Veřejnou zakázku spolufinancovat prostřednictvím evropských fondů, jmenovitě pomocí Operačního programu Doprava.</w:t>
      </w:r>
    </w:p>
    <w:p w14:paraId="5AB8068C" w14:textId="29805D6D" w:rsidR="00723BE1" w:rsidRDefault="00723BE1" w:rsidP="00723BE1">
      <w:pPr>
        <w:spacing w:before="120" w:after="120"/>
        <w:jc w:val="both"/>
        <w:rPr>
          <w:rFonts w:asciiTheme="minorHAnsi" w:hAnsiTheme="minorHAnsi" w:cstheme="minorHAnsi"/>
          <w:b/>
          <w:smallCaps/>
          <w:spacing w:val="20"/>
          <w:sz w:val="22"/>
          <w:szCs w:val="22"/>
        </w:rPr>
      </w:pPr>
    </w:p>
    <w:p w14:paraId="3C8CE734" w14:textId="048E901C" w:rsidR="005B547A" w:rsidRDefault="005B547A" w:rsidP="00723BE1">
      <w:pPr>
        <w:spacing w:before="120" w:after="120"/>
        <w:jc w:val="both"/>
        <w:rPr>
          <w:rFonts w:asciiTheme="minorHAnsi" w:hAnsiTheme="minorHAnsi" w:cstheme="minorHAnsi"/>
          <w:b/>
          <w:smallCaps/>
          <w:spacing w:val="20"/>
          <w:sz w:val="22"/>
          <w:szCs w:val="22"/>
        </w:rPr>
      </w:pPr>
    </w:p>
    <w:p w14:paraId="6C3B29F5" w14:textId="34C58727" w:rsidR="005B547A" w:rsidRDefault="005B547A" w:rsidP="00723BE1">
      <w:pPr>
        <w:spacing w:before="120" w:after="120"/>
        <w:jc w:val="both"/>
        <w:rPr>
          <w:rFonts w:asciiTheme="minorHAnsi" w:hAnsiTheme="minorHAnsi" w:cstheme="minorHAnsi"/>
          <w:b/>
          <w:smallCaps/>
          <w:spacing w:val="20"/>
          <w:sz w:val="22"/>
          <w:szCs w:val="22"/>
        </w:rPr>
      </w:pPr>
    </w:p>
    <w:p w14:paraId="18DEB36B" w14:textId="3295D7F4" w:rsidR="005B547A" w:rsidRDefault="005B547A" w:rsidP="00723BE1">
      <w:pPr>
        <w:spacing w:before="120" w:after="120"/>
        <w:jc w:val="both"/>
        <w:rPr>
          <w:rFonts w:asciiTheme="minorHAnsi" w:hAnsiTheme="minorHAnsi" w:cstheme="minorHAnsi"/>
          <w:b/>
          <w:smallCaps/>
          <w:spacing w:val="20"/>
          <w:sz w:val="22"/>
          <w:szCs w:val="22"/>
        </w:rPr>
      </w:pPr>
    </w:p>
    <w:p w14:paraId="398A7B71" w14:textId="10AE62B0" w:rsidR="005B547A" w:rsidRDefault="005B547A" w:rsidP="00723BE1">
      <w:pPr>
        <w:spacing w:before="120" w:after="120"/>
        <w:jc w:val="both"/>
        <w:rPr>
          <w:rFonts w:asciiTheme="minorHAnsi" w:hAnsiTheme="minorHAnsi" w:cstheme="minorHAnsi"/>
          <w:b/>
          <w:smallCaps/>
          <w:spacing w:val="20"/>
          <w:sz w:val="22"/>
          <w:szCs w:val="22"/>
        </w:rPr>
      </w:pPr>
    </w:p>
    <w:p w14:paraId="0D0CBC1A" w14:textId="3C98F3D5" w:rsidR="005B547A" w:rsidRDefault="005B547A" w:rsidP="00723BE1">
      <w:pPr>
        <w:spacing w:before="120" w:after="120"/>
        <w:jc w:val="both"/>
        <w:rPr>
          <w:rFonts w:asciiTheme="minorHAnsi" w:hAnsiTheme="minorHAnsi" w:cstheme="minorHAnsi"/>
          <w:b/>
          <w:smallCaps/>
          <w:spacing w:val="20"/>
          <w:sz w:val="22"/>
          <w:szCs w:val="22"/>
        </w:rPr>
      </w:pPr>
    </w:p>
    <w:p w14:paraId="52CF09AB" w14:textId="6BB2D669" w:rsidR="005B547A" w:rsidRDefault="005B547A" w:rsidP="00723BE1">
      <w:pPr>
        <w:spacing w:before="120" w:after="120"/>
        <w:jc w:val="both"/>
        <w:rPr>
          <w:rFonts w:asciiTheme="minorHAnsi" w:hAnsiTheme="minorHAnsi" w:cstheme="minorHAnsi"/>
          <w:b/>
          <w:smallCaps/>
          <w:spacing w:val="20"/>
          <w:sz w:val="22"/>
          <w:szCs w:val="22"/>
        </w:rPr>
      </w:pPr>
    </w:p>
    <w:p w14:paraId="46D86C8F" w14:textId="77C991DF" w:rsidR="005B547A" w:rsidRDefault="005B547A" w:rsidP="00723BE1">
      <w:pPr>
        <w:spacing w:before="120" w:after="120"/>
        <w:jc w:val="both"/>
        <w:rPr>
          <w:rFonts w:asciiTheme="minorHAnsi" w:hAnsiTheme="minorHAnsi" w:cstheme="minorHAnsi"/>
          <w:b/>
          <w:smallCaps/>
          <w:spacing w:val="20"/>
          <w:sz w:val="22"/>
          <w:szCs w:val="22"/>
        </w:rPr>
      </w:pPr>
    </w:p>
    <w:p w14:paraId="0AEE15BF" w14:textId="6AC4EC11" w:rsidR="005B547A" w:rsidRDefault="005B547A" w:rsidP="00723BE1">
      <w:pPr>
        <w:spacing w:before="120" w:after="120"/>
        <w:jc w:val="both"/>
        <w:rPr>
          <w:rFonts w:asciiTheme="minorHAnsi" w:hAnsiTheme="minorHAnsi" w:cstheme="minorHAnsi"/>
          <w:b/>
          <w:smallCaps/>
          <w:spacing w:val="20"/>
          <w:sz w:val="22"/>
          <w:szCs w:val="22"/>
        </w:rPr>
      </w:pPr>
    </w:p>
    <w:p w14:paraId="1FA14469" w14:textId="77777777" w:rsidR="005B547A" w:rsidRPr="00723BE1" w:rsidRDefault="005B547A" w:rsidP="00723BE1">
      <w:pPr>
        <w:spacing w:before="120" w:after="120"/>
        <w:jc w:val="both"/>
        <w:rPr>
          <w:rFonts w:asciiTheme="minorHAnsi" w:hAnsiTheme="minorHAnsi" w:cstheme="minorHAnsi"/>
          <w:b/>
          <w:smallCaps/>
          <w:spacing w:val="20"/>
          <w:sz w:val="22"/>
          <w:szCs w:val="22"/>
        </w:rPr>
      </w:pPr>
    </w:p>
    <w:p w14:paraId="3188ACE7" w14:textId="51BF7A85" w:rsidR="002A1846" w:rsidRPr="00F2068A" w:rsidRDefault="002A1846" w:rsidP="00723BE1">
      <w:pPr>
        <w:numPr>
          <w:ilvl w:val="0"/>
          <w:numId w:val="1"/>
        </w:numPr>
        <w:tabs>
          <w:tab w:val="num" w:pos="900"/>
        </w:tabs>
        <w:spacing w:before="120" w:after="120"/>
        <w:ind w:left="0" w:firstLine="0"/>
        <w:jc w:val="both"/>
        <w:rPr>
          <w:rFonts w:asciiTheme="minorHAnsi" w:hAnsiTheme="minorHAnsi"/>
          <w:b/>
          <w:smallCaps/>
          <w:spacing w:val="20"/>
          <w:sz w:val="22"/>
          <w:szCs w:val="22"/>
        </w:rPr>
      </w:pPr>
      <w:r w:rsidRPr="00F2068A">
        <w:rPr>
          <w:rFonts w:asciiTheme="minorHAnsi" w:hAnsiTheme="minorHAnsi"/>
          <w:b/>
          <w:smallCaps/>
          <w:spacing w:val="20"/>
          <w:sz w:val="22"/>
          <w:szCs w:val="22"/>
        </w:rPr>
        <w:lastRenderedPageBreak/>
        <w:t>Přílohy</w:t>
      </w:r>
    </w:p>
    <w:p w14:paraId="635DF794" w14:textId="77777777" w:rsidR="002A1846" w:rsidRPr="00F2068A" w:rsidRDefault="002A1846" w:rsidP="002A688A">
      <w:pPr>
        <w:jc w:val="both"/>
        <w:rPr>
          <w:rFonts w:asciiTheme="minorHAnsi" w:hAnsiTheme="minorHAnsi"/>
          <w:sz w:val="22"/>
          <w:szCs w:val="22"/>
        </w:rPr>
      </w:pPr>
      <w:r w:rsidRPr="00F2068A">
        <w:rPr>
          <w:rFonts w:asciiTheme="minorHAnsi" w:hAnsiTheme="minorHAnsi"/>
          <w:sz w:val="22"/>
          <w:szCs w:val="22"/>
        </w:rPr>
        <w:t>Příloha č. 1</w:t>
      </w:r>
      <w:r w:rsidRPr="00F2068A">
        <w:rPr>
          <w:rFonts w:asciiTheme="minorHAnsi" w:hAnsiTheme="minorHAnsi"/>
          <w:sz w:val="22"/>
          <w:szCs w:val="22"/>
        </w:rPr>
        <w:tab/>
        <w:t>-</w:t>
      </w:r>
      <w:r w:rsidRPr="00F2068A">
        <w:rPr>
          <w:rFonts w:asciiTheme="minorHAnsi" w:hAnsiTheme="minorHAnsi"/>
          <w:sz w:val="22"/>
          <w:szCs w:val="22"/>
        </w:rPr>
        <w:tab/>
        <w:t>Krycí list nabídky</w:t>
      </w:r>
    </w:p>
    <w:p w14:paraId="26EFC48E" w14:textId="77777777" w:rsidR="002A1846" w:rsidRPr="00F2068A" w:rsidRDefault="002A1846" w:rsidP="002A688A">
      <w:pPr>
        <w:jc w:val="both"/>
        <w:rPr>
          <w:rFonts w:asciiTheme="minorHAnsi" w:hAnsiTheme="minorHAnsi"/>
          <w:sz w:val="22"/>
          <w:szCs w:val="22"/>
        </w:rPr>
      </w:pPr>
      <w:r w:rsidRPr="00F2068A">
        <w:rPr>
          <w:rFonts w:asciiTheme="minorHAnsi" w:hAnsiTheme="minorHAnsi"/>
          <w:sz w:val="22"/>
          <w:szCs w:val="22"/>
        </w:rPr>
        <w:t>Příloha č. 2</w:t>
      </w:r>
      <w:r w:rsidRPr="00F2068A">
        <w:rPr>
          <w:rFonts w:asciiTheme="minorHAnsi" w:hAnsiTheme="minorHAnsi"/>
          <w:sz w:val="22"/>
          <w:szCs w:val="22"/>
        </w:rPr>
        <w:tab/>
        <w:t>-</w:t>
      </w:r>
      <w:r w:rsidRPr="00F2068A">
        <w:rPr>
          <w:rFonts w:asciiTheme="minorHAnsi" w:hAnsiTheme="minorHAnsi"/>
          <w:sz w:val="22"/>
          <w:szCs w:val="22"/>
        </w:rPr>
        <w:tab/>
        <w:t>Čestné prohlášení o splnění základních kvalifikačních předpokladů</w:t>
      </w:r>
    </w:p>
    <w:p w14:paraId="5754429E" w14:textId="0E9B60D5" w:rsidR="002A1846" w:rsidRPr="00CD7FDB" w:rsidRDefault="002A1846" w:rsidP="002A688A">
      <w:pPr>
        <w:jc w:val="both"/>
        <w:rPr>
          <w:rFonts w:asciiTheme="minorHAnsi" w:hAnsiTheme="minorHAnsi"/>
          <w:sz w:val="22"/>
          <w:szCs w:val="22"/>
        </w:rPr>
      </w:pPr>
      <w:r w:rsidRPr="00CD7FDB">
        <w:rPr>
          <w:rFonts w:asciiTheme="minorHAnsi" w:hAnsiTheme="minorHAnsi"/>
          <w:sz w:val="22"/>
          <w:szCs w:val="22"/>
        </w:rPr>
        <w:t xml:space="preserve">Příloha č. </w:t>
      </w:r>
      <w:r w:rsidR="009E69FA" w:rsidRPr="00CD7FDB">
        <w:rPr>
          <w:rFonts w:asciiTheme="minorHAnsi" w:hAnsiTheme="minorHAnsi"/>
          <w:sz w:val="22"/>
          <w:szCs w:val="22"/>
        </w:rPr>
        <w:t>3</w:t>
      </w:r>
      <w:r w:rsidRPr="00CD7FDB">
        <w:rPr>
          <w:rFonts w:asciiTheme="minorHAnsi" w:hAnsiTheme="minorHAnsi"/>
          <w:sz w:val="22"/>
          <w:szCs w:val="22"/>
        </w:rPr>
        <w:tab/>
        <w:t xml:space="preserve">-            </w:t>
      </w:r>
      <w:r w:rsidR="002A688A" w:rsidRPr="00CD7FDB">
        <w:rPr>
          <w:rFonts w:asciiTheme="minorHAnsi" w:hAnsiTheme="minorHAnsi"/>
          <w:sz w:val="22"/>
          <w:szCs w:val="22"/>
        </w:rPr>
        <w:t xml:space="preserve"> </w:t>
      </w:r>
      <w:r w:rsidRPr="00CD7FDB">
        <w:rPr>
          <w:rFonts w:asciiTheme="minorHAnsi" w:hAnsiTheme="minorHAnsi"/>
          <w:sz w:val="22"/>
          <w:szCs w:val="22"/>
        </w:rPr>
        <w:t>Návrh textu smlouvy</w:t>
      </w:r>
    </w:p>
    <w:p w14:paraId="79DE922F" w14:textId="5338F4E4" w:rsidR="004D3DA6" w:rsidRPr="00CD7FDB" w:rsidRDefault="004D3DA6" w:rsidP="002A688A">
      <w:pPr>
        <w:jc w:val="both"/>
        <w:rPr>
          <w:rFonts w:asciiTheme="minorHAnsi" w:hAnsiTheme="minorHAnsi"/>
          <w:sz w:val="22"/>
          <w:szCs w:val="22"/>
        </w:rPr>
      </w:pPr>
      <w:r w:rsidRPr="00CD7FDB">
        <w:rPr>
          <w:rFonts w:asciiTheme="minorHAnsi" w:hAnsiTheme="minorHAnsi"/>
          <w:sz w:val="22"/>
          <w:szCs w:val="22"/>
        </w:rPr>
        <w:t>Příloha č. 4</w:t>
      </w:r>
      <w:r w:rsidRPr="00CD7FDB">
        <w:rPr>
          <w:rFonts w:asciiTheme="minorHAnsi" w:hAnsiTheme="minorHAnsi"/>
          <w:sz w:val="22"/>
          <w:szCs w:val="22"/>
        </w:rPr>
        <w:tab/>
        <w:t>-</w:t>
      </w:r>
      <w:r w:rsidRPr="00CD7FDB">
        <w:rPr>
          <w:rFonts w:asciiTheme="minorHAnsi" w:hAnsiTheme="minorHAnsi"/>
          <w:sz w:val="22"/>
          <w:szCs w:val="22"/>
        </w:rPr>
        <w:tab/>
      </w:r>
      <w:r w:rsidR="008F3C5B" w:rsidRPr="00CD7FDB">
        <w:rPr>
          <w:rFonts w:asciiTheme="minorHAnsi" w:hAnsiTheme="minorHAnsi"/>
          <w:sz w:val="22"/>
          <w:szCs w:val="22"/>
        </w:rPr>
        <w:t>S</w:t>
      </w:r>
      <w:r w:rsidRPr="00CD7FDB">
        <w:rPr>
          <w:rFonts w:asciiTheme="minorHAnsi" w:hAnsiTheme="minorHAnsi"/>
          <w:sz w:val="22"/>
          <w:szCs w:val="22"/>
        </w:rPr>
        <w:t xml:space="preserve">pecifikace předmětu plnění </w:t>
      </w:r>
    </w:p>
    <w:p w14:paraId="4B17B674" w14:textId="067B5F28" w:rsidR="0077201D" w:rsidRPr="00F2068A" w:rsidRDefault="0077201D" w:rsidP="002A688A">
      <w:pPr>
        <w:jc w:val="both"/>
        <w:rPr>
          <w:rFonts w:asciiTheme="minorHAnsi" w:hAnsiTheme="minorHAnsi"/>
          <w:sz w:val="22"/>
          <w:szCs w:val="22"/>
        </w:rPr>
      </w:pPr>
      <w:r w:rsidRPr="00CD7FDB">
        <w:rPr>
          <w:rFonts w:asciiTheme="minorHAnsi" w:hAnsiTheme="minorHAnsi"/>
          <w:sz w:val="22"/>
          <w:szCs w:val="22"/>
        </w:rPr>
        <w:t>Příloha č. 5</w:t>
      </w:r>
      <w:r w:rsidRPr="00CD7FDB">
        <w:rPr>
          <w:rFonts w:asciiTheme="minorHAnsi" w:hAnsiTheme="minorHAnsi"/>
          <w:sz w:val="22"/>
          <w:szCs w:val="22"/>
        </w:rPr>
        <w:tab/>
        <w:t>-</w:t>
      </w:r>
      <w:r w:rsidRPr="00CD7FDB">
        <w:rPr>
          <w:rFonts w:asciiTheme="minorHAnsi" w:hAnsiTheme="minorHAnsi"/>
          <w:sz w:val="22"/>
          <w:szCs w:val="22"/>
        </w:rPr>
        <w:tab/>
        <w:t>Projektová dokumentace a soupis prací</w:t>
      </w:r>
    </w:p>
    <w:p w14:paraId="686645E6" w14:textId="77777777" w:rsidR="002A1846" w:rsidRPr="00F2068A" w:rsidRDefault="002A1846" w:rsidP="002A1846">
      <w:pPr>
        <w:spacing w:before="120" w:after="120"/>
        <w:jc w:val="both"/>
        <w:rPr>
          <w:rFonts w:asciiTheme="minorHAnsi" w:hAnsiTheme="minorHAnsi"/>
          <w:sz w:val="22"/>
          <w:szCs w:val="22"/>
        </w:rPr>
      </w:pPr>
    </w:p>
    <w:p w14:paraId="36946BD6" w14:textId="3D008566" w:rsidR="002A1846" w:rsidRDefault="002A1846" w:rsidP="002A1846">
      <w:pPr>
        <w:spacing w:before="120" w:after="120"/>
        <w:jc w:val="both"/>
        <w:rPr>
          <w:rFonts w:asciiTheme="minorHAnsi" w:hAnsiTheme="minorHAnsi"/>
          <w:sz w:val="22"/>
          <w:szCs w:val="22"/>
        </w:rPr>
      </w:pPr>
      <w:r w:rsidRPr="00F2068A">
        <w:rPr>
          <w:rFonts w:asciiTheme="minorHAnsi" w:hAnsiTheme="minorHAnsi"/>
          <w:sz w:val="22"/>
          <w:szCs w:val="22"/>
        </w:rPr>
        <w:t xml:space="preserve">V Brně, </w:t>
      </w:r>
      <w:r w:rsidRPr="00084A57">
        <w:rPr>
          <w:rFonts w:asciiTheme="minorHAnsi" w:hAnsiTheme="minorHAnsi"/>
          <w:sz w:val="22"/>
          <w:szCs w:val="22"/>
        </w:rPr>
        <w:t xml:space="preserve">dne </w:t>
      </w:r>
      <w:r w:rsidR="007C2F6B">
        <w:rPr>
          <w:rFonts w:asciiTheme="minorHAnsi" w:hAnsiTheme="minorHAnsi"/>
          <w:sz w:val="22"/>
          <w:szCs w:val="22"/>
        </w:rPr>
        <w:t>………………………………..</w:t>
      </w:r>
    </w:p>
    <w:p w14:paraId="76F9BE11" w14:textId="77777777" w:rsidR="00CF40DD" w:rsidRDefault="00CF40DD" w:rsidP="002A1846">
      <w:pPr>
        <w:spacing w:before="120" w:after="120"/>
        <w:jc w:val="both"/>
        <w:rPr>
          <w:rFonts w:asciiTheme="minorHAnsi" w:hAnsiTheme="minorHAnsi"/>
          <w:sz w:val="22"/>
          <w:szCs w:val="22"/>
        </w:rPr>
      </w:pPr>
    </w:p>
    <w:p w14:paraId="76515E5E" w14:textId="77777777" w:rsidR="002A688A" w:rsidRPr="00CD40CD" w:rsidRDefault="002A688A" w:rsidP="002A688A">
      <w:pPr>
        <w:spacing w:before="120" w:after="120"/>
        <w:jc w:val="both"/>
        <w:rPr>
          <w:rFonts w:asciiTheme="minorHAnsi" w:hAnsiTheme="minorHAnsi" w:cstheme="minorHAnsi"/>
        </w:rPr>
      </w:pPr>
      <w:r w:rsidRPr="00CD40CD">
        <w:rPr>
          <w:rFonts w:asciiTheme="minorHAnsi" w:hAnsiTheme="minorHAnsi" w:cstheme="minorHAnsi"/>
        </w:rPr>
        <w:t xml:space="preserve">                                                                                                 …………………………………………</w:t>
      </w:r>
      <w:r>
        <w:rPr>
          <w:rFonts w:asciiTheme="minorHAnsi" w:hAnsiTheme="minorHAnsi" w:cstheme="minorHAnsi"/>
        </w:rPr>
        <w:t>…………</w:t>
      </w:r>
    </w:p>
    <w:tbl>
      <w:tblPr>
        <w:tblW w:w="9289" w:type="dxa"/>
        <w:tblLook w:val="01E0" w:firstRow="1" w:lastRow="1" w:firstColumn="1" w:lastColumn="1" w:noHBand="0" w:noVBand="0"/>
      </w:tblPr>
      <w:tblGrid>
        <w:gridCol w:w="4644"/>
        <w:gridCol w:w="4645"/>
      </w:tblGrid>
      <w:tr w:rsidR="002A688A" w:rsidRPr="007C2F6B" w14:paraId="6E797AC8" w14:textId="77777777" w:rsidTr="001D00C1">
        <w:trPr>
          <w:trHeight w:val="200"/>
        </w:trPr>
        <w:tc>
          <w:tcPr>
            <w:tcW w:w="4644" w:type="dxa"/>
            <w:shd w:val="clear" w:color="auto" w:fill="auto"/>
            <w:vAlign w:val="center"/>
          </w:tcPr>
          <w:p w14:paraId="2A9E3B61" w14:textId="77777777" w:rsidR="002A688A" w:rsidRPr="00CD40CD" w:rsidRDefault="002A688A" w:rsidP="001D00C1">
            <w:pPr>
              <w:spacing w:before="120" w:after="120"/>
              <w:jc w:val="both"/>
              <w:rPr>
                <w:rFonts w:asciiTheme="minorHAnsi" w:hAnsiTheme="minorHAnsi" w:cstheme="minorHAnsi"/>
              </w:rPr>
            </w:pPr>
          </w:p>
        </w:tc>
        <w:tc>
          <w:tcPr>
            <w:tcW w:w="4644" w:type="dxa"/>
            <w:shd w:val="clear" w:color="auto" w:fill="auto"/>
          </w:tcPr>
          <w:p w14:paraId="6C117ADC" w14:textId="77777777" w:rsidR="00527EE8" w:rsidRPr="00CD7FDB" w:rsidRDefault="00527EE8" w:rsidP="00527EE8">
            <w:pPr>
              <w:spacing w:before="120" w:after="120"/>
              <w:jc w:val="center"/>
              <w:rPr>
                <w:rFonts w:asciiTheme="minorHAnsi" w:hAnsiTheme="minorHAnsi" w:cstheme="minorHAnsi"/>
                <w:b/>
                <w:sz w:val="22"/>
                <w:szCs w:val="22"/>
              </w:rPr>
            </w:pPr>
            <w:r w:rsidRPr="00CD7FDB">
              <w:rPr>
                <w:rFonts w:asciiTheme="minorHAnsi" w:hAnsiTheme="minorHAnsi" w:cstheme="minorHAnsi"/>
                <w:b/>
                <w:sz w:val="22"/>
                <w:szCs w:val="22"/>
              </w:rPr>
              <w:t>Ing. Luděk Borový, generální ředitel</w:t>
            </w:r>
          </w:p>
          <w:p w14:paraId="75A338F6" w14:textId="77777777" w:rsidR="00527EE8" w:rsidRPr="007C2F6B" w:rsidRDefault="00527EE8" w:rsidP="00527EE8">
            <w:pPr>
              <w:spacing w:before="120" w:after="120"/>
              <w:jc w:val="center"/>
              <w:rPr>
                <w:rFonts w:asciiTheme="minorHAnsi" w:hAnsiTheme="minorHAnsi" w:cstheme="minorHAnsi"/>
                <w:sz w:val="22"/>
                <w:szCs w:val="22"/>
              </w:rPr>
            </w:pPr>
            <w:r w:rsidRPr="007C2F6B">
              <w:rPr>
                <w:rFonts w:asciiTheme="minorHAnsi" w:hAnsiTheme="minorHAnsi" w:cstheme="minorHAnsi"/>
                <w:sz w:val="22"/>
                <w:szCs w:val="22"/>
              </w:rPr>
              <w:t>na základě plné moci</w:t>
            </w:r>
          </w:p>
          <w:p w14:paraId="72457A80" w14:textId="11CD3D11" w:rsidR="002A688A" w:rsidRPr="00CD7FDB" w:rsidRDefault="00527EE8" w:rsidP="00527EE8">
            <w:pPr>
              <w:jc w:val="center"/>
              <w:rPr>
                <w:rFonts w:asciiTheme="minorHAnsi" w:hAnsiTheme="minorHAnsi" w:cstheme="minorHAnsi"/>
                <w:sz w:val="22"/>
                <w:szCs w:val="22"/>
              </w:rPr>
            </w:pPr>
            <w:r w:rsidRPr="00CD7FDB">
              <w:rPr>
                <w:rFonts w:asciiTheme="minorHAnsi" w:hAnsiTheme="minorHAnsi" w:cstheme="minorHAnsi"/>
                <w:bCs/>
                <w:sz w:val="22"/>
                <w:szCs w:val="22"/>
              </w:rPr>
              <w:t>Brněnské komunikace a.s.</w:t>
            </w:r>
          </w:p>
        </w:tc>
      </w:tr>
    </w:tbl>
    <w:p w14:paraId="45683547" w14:textId="77777777" w:rsidR="002A1846" w:rsidRPr="00F2068A" w:rsidRDefault="002A1846" w:rsidP="002A1846">
      <w:pPr>
        <w:rPr>
          <w:rFonts w:asciiTheme="minorHAnsi" w:hAnsiTheme="minorHAnsi"/>
        </w:rPr>
      </w:pPr>
    </w:p>
    <w:sectPr w:rsidR="002A1846" w:rsidRPr="00F2068A" w:rsidSect="00C7317E">
      <w:headerReference w:type="default" r:id="rId8"/>
      <w:footerReference w:type="default" r:id="rId9"/>
      <w:pgSz w:w="11906" w:h="16838"/>
      <w:pgMar w:top="851" w:right="1417" w:bottom="993"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EC19" w14:textId="77777777" w:rsidR="00B75504" w:rsidRDefault="00B75504" w:rsidP="00F2068A">
      <w:r>
        <w:separator/>
      </w:r>
    </w:p>
  </w:endnote>
  <w:endnote w:type="continuationSeparator" w:id="0">
    <w:p w14:paraId="3B6D0E9F" w14:textId="77777777" w:rsidR="00B75504" w:rsidRDefault="00B75504" w:rsidP="00F2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DotumChe">
    <w:panose1 w:val="020B0609000101010101"/>
    <w:charset w:val="81"/>
    <w:family w:val="modern"/>
    <w:pitch w:val="fixed"/>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149139"/>
      <w:docPartObj>
        <w:docPartGallery w:val="Page Numbers (Bottom of Page)"/>
        <w:docPartUnique/>
      </w:docPartObj>
    </w:sdtPr>
    <w:sdtEndPr>
      <w:rPr>
        <w:rFonts w:asciiTheme="minorHAnsi" w:hAnsiTheme="minorHAnsi" w:cstheme="minorHAnsi"/>
        <w:sz w:val="20"/>
        <w:szCs w:val="20"/>
      </w:rPr>
    </w:sdtEndPr>
    <w:sdtContent>
      <w:p w14:paraId="1FE782D9" w14:textId="776BBEDA" w:rsidR="004F6845" w:rsidRPr="004F6845" w:rsidRDefault="004F6845">
        <w:pPr>
          <w:pStyle w:val="Zpat"/>
          <w:jc w:val="right"/>
          <w:rPr>
            <w:rFonts w:asciiTheme="minorHAnsi" w:hAnsiTheme="minorHAnsi" w:cstheme="minorHAnsi"/>
            <w:sz w:val="20"/>
            <w:szCs w:val="20"/>
          </w:rPr>
        </w:pPr>
        <w:r w:rsidRPr="004F6845">
          <w:rPr>
            <w:rFonts w:asciiTheme="minorHAnsi" w:hAnsiTheme="minorHAnsi" w:cstheme="minorHAnsi"/>
            <w:sz w:val="20"/>
            <w:szCs w:val="20"/>
          </w:rPr>
          <w:fldChar w:fldCharType="begin"/>
        </w:r>
        <w:r w:rsidRPr="004F6845">
          <w:rPr>
            <w:rFonts w:asciiTheme="minorHAnsi" w:hAnsiTheme="minorHAnsi" w:cstheme="minorHAnsi"/>
            <w:sz w:val="20"/>
            <w:szCs w:val="20"/>
          </w:rPr>
          <w:instrText>PAGE   \* MERGEFORMAT</w:instrText>
        </w:r>
        <w:r w:rsidRPr="004F6845">
          <w:rPr>
            <w:rFonts w:asciiTheme="minorHAnsi" w:hAnsiTheme="minorHAnsi" w:cstheme="minorHAnsi"/>
            <w:sz w:val="20"/>
            <w:szCs w:val="20"/>
          </w:rPr>
          <w:fldChar w:fldCharType="separate"/>
        </w:r>
        <w:r w:rsidR="007808CC">
          <w:rPr>
            <w:rFonts w:asciiTheme="minorHAnsi" w:hAnsiTheme="minorHAnsi" w:cstheme="minorHAnsi"/>
            <w:noProof/>
            <w:sz w:val="20"/>
            <w:szCs w:val="20"/>
          </w:rPr>
          <w:t>7</w:t>
        </w:r>
        <w:r w:rsidRPr="004F6845">
          <w:rPr>
            <w:rFonts w:asciiTheme="minorHAnsi" w:hAnsiTheme="minorHAnsi" w:cstheme="minorHAnsi"/>
            <w:sz w:val="20"/>
            <w:szCs w:val="20"/>
          </w:rPr>
          <w:fldChar w:fldCharType="end"/>
        </w:r>
      </w:p>
    </w:sdtContent>
  </w:sdt>
  <w:p w14:paraId="79C216B6" w14:textId="77777777" w:rsidR="004F6845" w:rsidRDefault="004F68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2862" w14:textId="77777777" w:rsidR="00B75504" w:rsidRDefault="00B75504" w:rsidP="00F2068A">
      <w:r>
        <w:separator/>
      </w:r>
    </w:p>
  </w:footnote>
  <w:footnote w:type="continuationSeparator" w:id="0">
    <w:p w14:paraId="6D71B5AF" w14:textId="77777777" w:rsidR="00B75504" w:rsidRDefault="00B75504" w:rsidP="00F2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110B" w14:textId="4A00EB2F" w:rsidR="00000EAC" w:rsidRPr="00F2068A" w:rsidRDefault="00C02382">
    <w:pPr>
      <w:pStyle w:val="Zhlav"/>
      <w:rPr>
        <w:b/>
        <w:bCs/>
        <w:color w:val="8496B0" w:themeColor="text2" w:themeTint="99"/>
      </w:rPr>
    </w:pPr>
    <w:r w:rsidRPr="008D117A">
      <w:rPr>
        <w:noProof/>
      </w:rPr>
      <w:drawing>
        <wp:inline distT="0" distB="0" distL="0" distR="0" wp14:anchorId="78DA7EDB" wp14:editId="4FCD16BF">
          <wp:extent cx="5760720" cy="9220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95"/>
                  </a:xfrm>
                  <a:prstGeom prst="rect">
                    <a:avLst/>
                  </a:prstGeom>
                  <a:noFill/>
                  <a:ln>
                    <a:noFill/>
                  </a:ln>
                </pic:spPr>
              </pic:pic>
            </a:graphicData>
          </a:graphic>
        </wp:inline>
      </w:drawing>
    </w:r>
    <w:r w:rsidR="00F2068A" w:rsidRPr="001D0574">
      <w:rPr>
        <w:b/>
        <w:bCs/>
        <w:color w:val="8496B0" w:themeColor="text2" w:themeTint="99"/>
      </w:rPr>
      <w:t>____________________________________________</w:t>
    </w:r>
    <w:r w:rsidR="00F2068A">
      <w:rPr>
        <w:b/>
        <w:bCs/>
        <w:color w:val="8496B0" w:themeColor="text2" w:themeTint="99"/>
      </w:rPr>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6075"/>
    <w:multiLevelType w:val="hybridMultilevel"/>
    <w:tmpl w:val="D16CCBB6"/>
    <w:lvl w:ilvl="0" w:tplc="A066D7AE">
      <w:start w:val="10"/>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668E9"/>
    <w:multiLevelType w:val="hybridMultilevel"/>
    <w:tmpl w:val="211A40EA"/>
    <w:lvl w:ilvl="0" w:tplc="F6500088">
      <w:numFmt w:val="bullet"/>
      <w:lvlText w:val="-"/>
      <w:lvlJc w:val="left"/>
      <w:pPr>
        <w:ind w:left="720" w:hanging="360"/>
      </w:pPr>
      <w:rPr>
        <w:rFonts w:ascii="Palatino Linotype" w:eastAsia="DotumChe" w:hAnsi="Palatino Linotype" w:cs="Kartik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5F3E9D"/>
    <w:multiLevelType w:val="hybridMultilevel"/>
    <w:tmpl w:val="B92C709A"/>
    <w:lvl w:ilvl="0" w:tplc="5C4AFD98">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06958B3"/>
    <w:multiLevelType w:val="hybridMultilevel"/>
    <w:tmpl w:val="78B8C500"/>
    <w:lvl w:ilvl="0" w:tplc="12E08C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5264F2"/>
    <w:multiLevelType w:val="hybridMultilevel"/>
    <w:tmpl w:val="3F02B04E"/>
    <w:lvl w:ilvl="0" w:tplc="4260B162">
      <w:start w:val="1"/>
      <w:numFmt w:val="upperRoman"/>
      <w:lvlText w:val="%1."/>
      <w:lvlJc w:val="left"/>
      <w:pPr>
        <w:tabs>
          <w:tab w:val="num" w:pos="7808"/>
        </w:tabs>
        <w:ind w:left="7808" w:hanging="720"/>
      </w:pPr>
      <w:rPr>
        <w:rFonts w:cs="Times New Roman"/>
        <w:b/>
      </w:rPr>
    </w:lvl>
    <w:lvl w:ilvl="1" w:tplc="83B0A06E">
      <w:start w:val="1"/>
      <w:numFmt w:val="decimal"/>
      <w:lvlText w:val="%2."/>
      <w:lvlJc w:val="left"/>
      <w:pPr>
        <w:tabs>
          <w:tab w:val="num" w:pos="1440"/>
        </w:tabs>
        <w:ind w:left="1440" w:hanging="360"/>
      </w:pPr>
      <w:rPr>
        <w:rFonts w:cs="Times New Roman"/>
        <w:b w:val="0"/>
      </w:rPr>
    </w:lvl>
    <w:lvl w:ilvl="2" w:tplc="B524D2FC">
      <w:start w:val="1"/>
      <w:numFmt w:val="lowerLetter"/>
      <w:lvlText w:val="%3)"/>
      <w:lvlJc w:val="left"/>
      <w:pPr>
        <w:tabs>
          <w:tab w:val="num" w:pos="2340"/>
        </w:tabs>
        <w:ind w:left="2340" w:hanging="360"/>
      </w:pPr>
      <w:rPr>
        <w:rFonts w:cs="Times New Roman"/>
        <w:b w:val="0"/>
      </w:rPr>
    </w:lvl>
    <w:lvl w:ilvl="3" w:tplc="04050017">
      <w:start w:val="1"/>
      <w:numFmt w:val="lowerLetter"/>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5941067"/>
    <w:multiLevelType w:val="hybridMultilevel"/>
    <w:tmpl w:val="D8EA150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34748C"/>
    <w:multiLevelType w:val="hybridMultilevel"/>
    <w:tmpl w:val="37C6006C"/>
    <w:lvl w:ilvl="0" w:tplc="0405001B">
      <w:start w:val="1"/>
      <w:numFmt w:val="lowerRoman"/>
      <w:lvlText w:val="%1."/>
      <w:lvlJc w:val="right"/>
      <w:pPr>
        <w:ind w:left="2340" w:hanging="360"/>
      </w:pPr>
      <w:rPr>
        <w:rFonts w:cs="Times New Roman"/>
      </w:rPr>
    </w:lvl>
    <w:lvl w:ilvl="1" w:tplc="04050019">
      <w:start w:val="1"/>
      <w:numFmt w:val="lowerLetter"/>
      <w:lvlText w:val="%2."/>
      <w:lvlJc w:val="left"/>
      <w:pPr>
        <w:ind w:left="3060" w:hanging="360"/>
      </w:pPr>
      <w:rPr>
        <w:rFonts w:cs="Times New Roman"/>
      </w:rPr>
    </w:lvl>
    <w:lvl w:ilvl="2" w:tplc="0405001B" w:tentative="1">
      <w:start w:val="1"/>
      <w:numFmt w:val="lowerRoman"/>
      <w:lvlText w:val="%3."/>
      <w:lvlJc w:val="right"/>
      <w:pPr>
        <w:ind w:left="3780" w:hanging="180"/>
      </w:pPr>
      <w:rPr>
        <w:rFonts w:cs="Times New Roman"/>
      </w:rPr>
    </w:lvl>
    <w:lvl w:ilvl="3" w:tplc="0405000F" w:tentative="1">
      <w:start w:val="1"/>
      <w:numFmt w:val="decimal"/>
      <w:lvlText w:val="%4."/>
      <w:lvlJc w:val="left"/>
      <w:pPr>
        <w:ind w:left="4500" w:hanging="360"/>
      </w:pPr>
      <w:rPr>
        <w:rFonts w:cs="Times New Roman"/>
      </w:rPr>
    </w:lvl>
    <w:lvl w:ilvl="4" w:tplc="04050019" w:tentative="1">
      <w:start w:val="1"/>
      <w:numFmt w:val="lowerLetter"/>
      <w:lvlText w:val="%5."/>
      <w:lvlJc w:val="left"/>
      <w:pPr>
        <w:ind w:left="5220" w:hanging="360"/>
      </w:pPr>
      <w:rPr>
        <w:rFonts w:cs="Times New Roman"/>
      </w:rPr>
    </w:lvl>
    <w:lvl w:ilvl="5" w:tplc="0405001B" w:tentative="1">
      <w:start w:val="1"/>
      <w:numFmt w:val="lowerRoman"/>
      <w:lvlText w:val="%6."/>
      <w:lvlJc w:val="right"/>
      <w:pPr>
        <w:ind w:left="5940" w:hanging="180"/>
      </w:pPr>
      <w:rPr>
        <w:rFonts w:cs="Times New Roman"/>
      </w:rPr>
    </w:lvl>
    <w:lvl w:ilvl="6" w:tplc="0405000F" w:tentative="1">
      <w:start w:val="1"/>
      <w:numFmt w:val="decimal"/>
      <w:lvlText w:val="%7."/>
      <w:lvlJc w:val="left"/>
      <w:pPr>
        <w:ind w:left="6660" w:hanging="360"/>
      </w:pPr>
      <w:rPr>
        <w:rFonts w:cs="Times New Roman"/>
      </w:rPr>
    </w:lvl>
    <w:lvl w:ilvl="7" w:tplc="04050019" w:tentative="1">
      <w:start w:val="1"/>
      <w:numFmt w:val="lowerLetter"/>
      <w:lvlText w:val="%8."/>
      <w:lvlJc w:val="left"/>
      <w:pPr>
        <w:ind w:left="7380" w:hanging="360"/>
      </w:pPr>
      <w:rPr>
        <w:rFonts w:cs="Times New Roman"/>
      </w:rPr>
    </w:lvl>
    <w:lvl w:ilvl="8" w:tplc="0405001B" w:tentative="1">
      <w:start w:val="1"/>
      <w:numFmt w:val="lowerRoman"/>
      <w:lvlText w:val="%9."/>
      <w:lvlJc w:val="right"/>
      <w:pPr>
        <w:ind w:left="8100" w:hanging="180"/>
      </w:pPr>
      <w:rPr>
        <w:rFonts w:cs="Times New Roman"/>
      </w:rPr>
    </w:lvl>
  </w:abstractNum>
  <w:abstractNum w:abstractNumId="7" w15:restartNumberingAfterBreak="0">
    <w:nsid w:val="54A576D8"/>
    <w:multiLevelType w:val="hybridMultilevel"/>
    <w:tmpl w:val="F8F678EE"/>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C8A65A3"/>
    <w:multiLevelType w:val="hybridMultilevel"/>
    <w:tmpl w:val="1D96787E"/>
    <w:lvl w:ilvl="0" w:tplc="F378C3CA">
      <w:start w:val="1"/>
      <w:numFmt w:val="decimal"/>
      <w:lvlText w:val="%1."/>
      <w:lvlJc w:val="left"/>
      <w:pPr>
        <w:ind w:left="1776" w:hanging="360"/>
      </w:pPr>
      <w:rPr>
        <w:rFonts w:ascii="Times New Roman" w:eastAsia="Calibri" w:hAnsi="Times New Roman" w:cs="Times New Roman"/>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633F4046"/>
    <w:multiLevelType w:val="hybridMultilevel"/>
    <w:tmpl w:val="FF8AEE7E"/>
    <w:lvl w:ilvl="0" w:tplc="FCE230FE">
      <w:start w:val="1"/>
      <w:numFmt w:val="decimal"/>
      <w:lvlText w:val="%1."/>
      <w:lvlJc w:val="left"/>
      <w:pPr>
        <w:tabs>
          <w:tab w:val="num" w:pos="360"/>
        </w:tabs>
        <w:ind w:left="360"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A492F17"/>
    <w:multiLevelType w:val="hybridMultilevel"/>
    <w:tmpl w:val="6BE219CC"/>
    <w:lvl w:ilvl="0" w:tplc="04050017">
      <w:start w:val="1"/>
      <w:numFmt w:val="lowerLetter"/>
      <w:lvlText w:val="%1)"/>
      <w:lvlJc w:val="left"/>
      <w:pPr>
        <w:tabs>
          <w:tab w:val="num" w:pos="540"/>
        </w:tabs>
        <w:ind w:left="54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F4D2EF7"/>
    <w:multiLevelType w:val="hybridMultilevel"/>
    <w:tmpl w:val="DB18B790"/>
    <w:lvl w:ilvl="0" w:tplc="5CE087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040DF7"/>
    <w:multiLevelType w:val="multilevel"/>
    <w:tmpl w:val="E206B3F6"/>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145226C"/>
    <w:multiLevelType w:val="hybridMultilevel"/>
    <w:tmpl w:val="37C6006C"/>
    <w:lvl w:ilvl="0" w:tplc="0405001B">
      <w:start w:val="1"/>
      <w:numFmt w:val="lowerRoman"/>
      <w:lvlText w:val="%1."/>
      <w:lvlJc w:val="right"/>
      <w:pPr>
        <w:ind w:left="2340" w:hanging="360"/>
      </w:pPr>
      <w:rPr>
        <w:rFonts w:cs="Times New Roman"/>
      </w:rPr>
    </w:lvl>
    <w:lvl w:ilvl="1" w:tplc="04050019">
      <w:start w:val="1"/>
      <w:numFmt w:val="lowerLetter"/>
      <w:lvlText w:val="%2."/>
      <w:lvlJc w:val="left"/>
      <w:pPr>
        <w:ind w:left="3060" w:hanging="360"/>
      </w:pPr>
      <w:rPr>
        <w:rFonts w:cs="Times New Roman"/>
      </w:rPr>
    </w:lvl>
    <w:lvl w:ilvl="2" w:tplc="0405001B" w:tentative="1">
      <w:start w:val="1"/>
      <w:numFmt w:val="lowerRoman"/>
      <w:lvlText w:val="%3."/>
      <w:lvlJc w:val="right"/>
      <w:pPr>
        <w:ind w:left="3780" w:hanging="180"/>
      </w:pPr>
      <w:rPr>
        <w:rFonts w:cs="Times New Roman"/>
      </w:rPr>
    </w:lvl>
    <w:lvl w:ilvl="3" w:tplc="0405000F" w:tentative="1">
      <w:start w:val="1"/>
      <w:numFmt w:val="decimal"/>
      <w:lvlText w:val="%4."/>
      <w:lvlJc w:val="left"/>
      <w:pPr>
        <w:ind w:left="4500" w:hanging="360"/>
      </w:pPr>
      <w:rPr>
        <w:rFonts w:cs="Times New Roman"/>
      </w:rPr>
    </w:lvl>
    <w:lvl w:ilvl="4" w:tplc="04050019" w:tentative="1">
      <w:start w:val="1"/>
      <w:numFmt w:val="lowerLetter"/>
      <w:lvlText w:val="%5."/>
      <w:lvlJc w:val="left"/>
      <w:pPr>
        <w:ind w:left="5220" w:hanging="360"/>
      </w:pPr>
      <w:rPr>
        <w:rFonts w:cs="Times New Roman"/>
      </w:rPr>
    </w:lvl>
    <w:lvl w:ilvl="5" w:tplc="0405001B" w:tentative="1">
      <w:start w:val="1"/>
      <w:numFmt w:val="lowerRoman"/>
      <w:lvlText w:val="%6."/>
      <w:lvlJc w:val="right"/>
      <w:pPr>
        <w:ind w:left="5940" w:hanging="180"/>
      </w:pPr>
      <w:rPr>
        <w:rFonts w:cs="Times New Roman"/>
      </w:rPr>
    </w:lvl>
    <w:lvl w:ilvl="6" w:tplc="0405000F" w:tentative="1">
      <w:start w:val="1"/>
      <w:numFmt w:val="decimal"/>
      <w:lvlText w:val="%7."/>
      <w:lvlJc w:val="left"/>
      <w:pPr>
        <w:ind w:left="6660" w:hanging="360"/>
      </w:pPr>
      <w:rPr>
        <w:rFonts w:cs="Times New Roman"/>
      </w:rPr>
    </w:lvl>
    <w:lvl w:ilvl="7" w:tplc="04050019" w:tentative="1">
      <w:start w:val="1"/>
      <w:numFmt w:val="lowerLetter"/>
      <w:lvlText w:val="%8."/>
      <w:lvlJc w:val="left"/>
      <w:pPr>
        <w:ind w:left="7380" w:hanging="360"/>
      </w:pPr>
      <w:rPr>
        <w:rFonts w:cs="Times New Roman"/>
      </w:rPr>
    </w:lvl>
    <w:lvl w:ilvl="8" w:tplc="0405001B" w:tentative="1">
      <w:start w:val="1"/>
      <w:numFmt w:val="lowerRoman"/>
      <w:lvlText w:val="%9."/>
      <w:lvlJc w:val="right"/>
      <w:pPr>
        <w:ind w:left="8100" w:hanging="180"/>
      </w:pPr>
      <w:rPr>
        <w:rFonts w:cs="Times New Roman"/>
      </w:rPr>
    </w:lvl>
  </w:abstractNum>
  <w:abstractNum w:abstractNumId="14" w15:restartNumberingAfterBreak="0">
    <w:nsid w:val="75004048"/>
    <w:multiLevelType w:val="hybridMultilevel"/>
    <w:tmpl w:val="8796257E"/>
    <w:lvl w:ilvl="0" w:tplc="0405001B">
      <w:start w:val="1"/>
      <w:numFmt w:val="lowerRoman"/>
      <w:lvlText w:val="%1."/>
      <w:lvlJc w:val="right"/>
      <w:pPr>
        <w:ind w:left="2340" w:hanging="360"/>
      </w:pPr>
      <w:rPr>
        <w:rFonts w:cs="Times New Roman"/>
      </w:rPr>
    </w:lvl>
    <w:lvl w:ilvl="1" w:tplc="04050019" w:tentative="1">
      <w:start w:val="1"/>
      <w:numFmt w:val="lowerLetter"/>
      <w:lvlText w:val="%2."/>
      <w:lvlJc w:val="left"/>
      <w:pPr>
        <w:ind w:left="3060" w:hanging="360"/>
      </w:pPr>
      <w:rPr>
        <w:rFonts w:cs="Times New Roman"/>
      </w:rPr>
    </w:lvl>
    <w:lvl w:ilvl="2" w:tplc="0405001B" w:tentative="1">
      <w:start w:val="1"/>
      <w:numFmt w:val="lowerRoman"/>
      <w:lvlText w:val="%3."/>
      <w:lvlJc w:val="right"/>
      <w:pPr>
        <w:ind w:left="3780" w:hanging="180"/>
      </w:pPr>
      <w:rPr>
        <w:rFonts w:cs="Times New Roman"/>
      </w:rPr>
    </w:lvl>
    <w:lvl w:ilvl="3" w:tplc="0405000F" w:tentative="1">
      <w:start w:val="1"/>
      <w:numFmt w:val="decimal"/>
      <w:lvlText w:val="%4."/>
      <w:lvlJc w:val="left"/>
      <w:pPr>
        <w:ind w:left="4500" w:hanging="360"/>
      </w:pPr>
      <w:rPr>
        <w:rFonts w:cs="Times New Roman"/>
      </w:rPr>
    </w:lvl>
    <w:lvl w:ilvl="4" w:tplc="04050019" w:tentative="1">
      <w:start w:val="1"/>
      <w:numFmt w:val="lowerLetter"/>
      <w:lvlText w:val="%5."/>
      <w:lvlJc w:val="left"/>
      <w:pPr>
        <w:ind w:left="5220" w:hanging="360"/>
      </w:pPr>
      <w:rPr>
        <w:rFonts w:cs="Times New Roman"/>
      </w:rPr>
    </w:lvl>
    <w:lvl w:ilvl="5" w:tplc="0405001B" w:tentative="1">
      <w:start w:val="1"/>
      <w:numFmt w:val="lowerRoman"/>
      <w:lvlText w:val="%6."/>
      <w:lvlJc w:val="right"/>
      <w:pPr>
        <w:ind w:left="5940" w:hanging="180"/>
      </w:pPr>
      <w:rPr>
        <w:rFonts w:cs="Times New Roman"/>
      </w:rPr>
    </w:lvl>
    <w:lvl w:ilvl="6" w:tplc="0405000F" w:tentative="1">
      <w:start w:val="1"/>
      <w:numFmt w:val="decimal"/>
      <w:lvlText w:val="%7."/>
      <w:lvlJc w:val="left"/>
      <w:pPr>
        <w:ind w:left="6660" w:hanging="360"/>
      </w:pPr>
      <w:rPr>
        <w:rFonts w:cs="Times New Roman"/>
      </w:rPr>
    </w:lvl>
    <w:lvl w:ilvl="7" w:tplc="04050019" w:tentative="1">
      <w:start w:val="1"/>
      <w:numFmt w:val="lowerLetter"/>
      <w:lvlText w:val="%8."/>
      <w:lvlJc w:val="left"/>
      <w:pPr>
        <w:ind w:left="7380" w:hanging="360"/>
      </w:pPr>
      <w:rPr>
        <w:rFonts w:cs="Times New Roman"/>
      </w:rPr>
    </w:lvl>
    <w:lvl w:ilvl="8" w:tplc="0405001B" w:tentative="1">
      <w:start w:val="1"/>
      <w:numFmt w:val="lowerRoman"/>
      <w:lvlText w:val="%9."/>
      <w:lvlJc w:val="right"/>
      <w:pPr>
        <w:ind w:left="810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
  </w:num>
  <w:num w:numId="7">
    <w:abstractNumId w:val="6"/>
  </w:num>
  <w:num w:numId="8">
    <w:abstractNumId w:val="13"/>
  </w:num>
  <w:num w:numId="9">
    <w:abstractNumId w:val="14"/>
  </w:num>
  <w:num w:numId="10">
    <w:abstractNumId w:val="8"/>
  </w:num>
  <w:num w:numId="11">
    <w:abstractNumId w:val="0"/>
  </w:num>
  <w:num w:numId="12">
    <w:abstractNumId w:val="5"/>
  </w:num>
  <w:num w:numId="13">
    <w:abstractNumId w:val="12"/>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46"/>
    <w:rsid w:val="00084A57"/>
    <w:rsid w:val="0009475D"/>
    <w:rsid w:val="000D4C6A"/>
    <w:rsid w:val="000E17F6"/>
    <w:rsid w:val="00116306"/>
    <w:rsid w:val="00146415"/>
    <w:rsid w:val="00147D91"/>
    <w:rsid w:val="00164BB6"/>
    <w:rsid w:val="00165FF6"/>
    <w:rsid w:val="001701FF"/>
    <w:rsid w:val="00172041"/>
    <w:rsid w:val="00174A2B"/>
    <w:rsid w:val="001764B9"/>
    <w:rsid w:val="001857EF"/>
    <w:rsid w:val="00190E37"/>
    <w:rsid w:val="001A06BD"/>
    <w:rsid w:val="001B78D2"/>
    <w:rsid w:val="001D5E25"/>
    <w:rsid w:val="001D5FAC"/>
    <w:rsid w:val="002026FD"/>
    <w:rsid w:val="00232668"/>
    <w:rsid w:val="00237A56"/>
    <w:rsid w:val="00271E0D"/>
    <w:rsid w:val="00280819"/>
    <w:rsid w:val="002A1846"/>
    <w:rsid w:val="002A688A"/>
    <w:rsid w:val="002F7BC7"/>
    <w:rsid w:val="00312F2B"/>
    <w:rsid w:val="00342314"/>
    <w:rsid w:val="0034542F"/>
    <w:rsid w:val="00353676"/>
    <w:rsid w:val="00362778"/>
    <w:rsid w:val="00364046"/>
    <w:rsid w:val="003718CD"/>
    <w:rsid w:val="003759EC"/>
    <w:rsid w:val="0039432A"/>
    <w:rsid w:val="003A4BE5"/>
    <w:rsid w:val="003F1BBE"/>
    <w:rsid w:val="003F2878"/>
    <w:rsid w:val="003F4FA2"/>
    <w:rsid w:val="00415870"/>
    <w:rsid w:val="004306A1"/>
    <w:rsid w:val="00437ADA"/>
    <w:rsid w:val="00452AB4"/>
    <w:rsid w:val="00472DB1"/>
    <w:rsid w:val="004A584F"/>
    <w:rsid w:val="004B016A"/>
    <w:rsid w:val="004D3DA6"/>
    <w:rsid w:val="004E023E"/>
    <w:rsid w:val="004E2388"/>
    <w:rsid w:val="004F42A7"/>
    <w:rsid w:val="004F6845"/>
    <w:rsid w:val="0050710A"/>
    <w:rsid w:val="005241D7"/>
    <w:rsid w:val="00527EE8"/>
    <w:rsid w:val="005312A1"/>
    <w:rsid w:val="00543A06"/>
    <w:rsid w:val="00560141"/>
    <w:rsid w:val="005711F2"/>
    <w:rsid w:val="00573889"/>
    <w:rsid w:val="005759BA"/>
    <w:rsid w:val="005B547A"/>
    <w:rsid w:val="00602870"/>
    <w:rsid w:val="00603AE6"/>
    <w:rsid w:val="00611E77"/>
    <w:rsid w:val="00625DE3"/>
    <w:rsid w:val="006535B1"/>
    <w:rsid w:val="006A539C"/>
    <w:rsid w:val="006E5116"/>
    <w:rsid w:val="006F715D"/>
    <w:rsid w:val="00701449"/>
    <w:rsid w:val="00703E66"/>
    <w:rsid w:val="007104A3"/>
    <w:rsid w:val="00723BE1"/>
    <w:rsid w:val="00744B95"/>
    <w:rsid w:val="00747ECA"/>
    <w:rsid w:val="00757F6C"/>
    <w:rsid w:val="0077201D"/>
    <w:rsid w:val="007808CC"/>
    <w:rsid w:val="00781980"/>
    <w:rsid w:val="00790456"/>
    <w:rsid w:val="0079691F"/>
    <w:rsid w:val="007C2F6B"/>
    <w:rsid w:val="007D3FA4"/>
    <w:rsid w:val="007D79D7"/>
    <w:rsid w:val="007E7321"/>
    <w:rsid w:val="007F0D40"/>
    <w:rsid w:val="007F1AFF"/>
    <w:rsid w:val="00820B0F"/>
    <w:rsid w:val="008311AA"/>
    <w:rsid w:val="00834360"/>
    <w:rsid w:val="00866370"/>
    <w:rsid w:val="00867BF7"/>
    <w:rsid w:val="008765F6"/>
    <w:rsid w:val="00877269"/>
    <w:rsid w:val="00897CC6"/>
    <w:rsid w:val="008A4BF5"/>
    <w:rsid w:val="008B0359"/>
    <w:rsid w:val="008C79FA"/>
    <w:rsid w:val="008D405C"/>
    <w:rsid w:val="008E38F8"/>
    <w:rsid w:val="008F3C5B"/>
    <w:rsid w:val="00902E85"/>
    <w:rsid w:val="00911E4E"/>
    <w:rsid w:val="0091690E"/>
    <w:rsid w:val="00953A74"/>
    <w:rsid w:val="00962DE7"/>
    <w:rsid w:val="009A1EFF"/>
    <w:rsid w:val="009A4FC7"/>
    <w:rsid w:val="009B3308"/>
    <w:rsid w:val="009D2322"/>
    <w:rsid w:val="009E69FA"/>
    <w:rsid w:val="00A065C2"/>
    <w:rsid w:val="00A114BF"/>
    <w:rsid w:val="00A2351E"/>
    <w:rsid w:val="00A83628"/>
    <w:rsid w:val="00A84AFA"/>
    <w:rsid w:val="00A8530B"/>
    <w:rsid w:val="00A87D8F"/>
    <w:rsid w:val="00AA4BAB"/>
    <w:rsid w:val="00AB0788"/>
    <w:rsid w:val="00AC79D2"/>
    <w:rsid w:val="00B53CFC"/>
    <w:rsid w:val="00B55F11"/>
    <w:rsid w:val="00B576E9"/>
    <w:rsid w:val="00B70AC7"/>
    <w:rsid w:val="00B70EAB"/>
    <w:rsid w:val="00B71983"/>
    <w:rsid w:val="00B75504"/>
    <w:rsid w:val="00B91702"/>
    <w:rsid w:val="00B94BDE"/>
    <w:rsid w:val="00BA259F"/>
    <w:rsid w:val="00BB7A15"/>
    <w:rsid w:val="00BE7243"/>
    <w:rsid w:val="00C02382"/>
    <w:rsid w:val="00C06956"/>
    <w:rsid w:val="00C23235"/>
    <w:rsid w:val="00C31416"/>
    <w:rsid w:val="00C46EB3"/>
    <w:rsid w:val="00C514AC"/>
    <w:rsid w:val="00C56585"/>
    <w:rsid w:val="00C5668E"/>
    <w:rsid w:val="00C56DC6"/>
    <w:rsid w:val="00C7722E"/>
    <w:rsid w:val="00CA326D"/>
    <w:rsid w:val="00CC0B5F"/>
    <w:rsid w:val="00CC71A3"/>
    <w:rsid w:val="00CD5C3B"/>
    <w:rsid w:val="00CD7FDB"/>
    <w:rsid w:val="00CF40DD"/>
    <w:rsid w:val="00D06FDB"/>
    <w:rsid w:val="00D23904"/>
    <w:rsid w:val="00D32815"/>
    <w:rsid w:val="00D477B9"/>
    <w:rsid w:val="00D709AB"/>
    <w:rsid w:val="00D72DBA"/>
    <w:rsid w:val="00D8180B"/>
    <w:rsid w:val="00D81A54"/>
    <w:rsid w:val="00D87EC1"/>
    <w:rsid w:val="00DB27AC"/>
    <w:rsid w:val="00DB59C5"/>
    <w:rsid w:val="00DC2045"/>
    <w:rsid w:val="00E03949"/>
    <w:rsid w:val="00E10588"/>
    <w:rsid w:val="00E14B0C"/>
    <w:rsid w:val="00E216E0"/>
    <w:rsid w:val="00E43519"/>
    <w:rsid w:val="00E6689B"/>
    <w:rsid w:val="00E74DAB"/>
    <w:rsid w:val="00E87D13"/>
    <w:rsid w:val="00EA1490"/>
    <w:rsid w:val="00EA190E"/>
    <w:rsid w:val="00EB47CA"/>
    <w:rsid w:val="00EE1228"/>
    <w:rsid w:val="00EF3679"/>
    <w:rsid w:val="00F2068A"/>
    <w:rsid w:val="00F33740"/>
    <w:rsid w:val="00F60EB9"/>
    <w:rsid w:val="00F80014"/>
    <w:rsid w:val="00F9555B"/>
    <w:rsid w:val="00FC75E2"/>
    <w:rsid w:val="00FD1FCB"/>
    <w:rsid w:val="00FD7136"/>
    <w:rsid w:val="00FF3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B200"/>
  <w15:docId w15:val="{49FBD29B-AD89-4056-8292-517EBAD7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184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B5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link w:val="Zhlav"/>
    <w:uiPriority w:val="99"/>
    <w:locked/>
    <w:rsid w:val="002A1846"/>
    <w:rPr>
      <w:sz w:val="24"/>
      <w:szCs w:val="24"/>
      <w:lang w:eastAsia="cs-CZ"/>
    </w:rPr>
  </w:style>
  <w:style w:type="paragraph" w:styleId="Zhlav">
    <w:name w:val="header"/>
    <w:basedOn w:val="Normln"/>
    <w:link w:val="ZhlavChar"/>
    <w:rsid w:val="002A1846"/>
    <w:pPr>
      <w:tabs>
        <w:tab w:val="center" w:pos="4536"/>
        <w:tab w:val="right" w:pos="9072"/>
      </w:tabs>
    </w:pPr>
    <w:rPr>
      <w:rFonts w:asciiTheme="minorHAnsi" w:eastAsiaTheme="minorHAnsi" w:hAnsiTheme="minorHAnsi" w:cstheme="minorBidi"/>
    </w:rPr>
  </w:style>
  <w:style w:type="character" w:customStyle="1" w:styleId="ZhlavChar1">
    <w:name w:val="Záhlaví Char1"/>
    <w:basedOn w:val="Standardnpsmoodstavce"/>
    <w:uiPriority w:val="99"/>
    <w:semiHidden/>
    <w:rsid w:val="002A1846"/>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2A1846"/>
    <w:pPr>
      <w:ind w:left="720"/>
      <w:contextualSpacing/>
    </w:pPr>
  </w:style>
  <w:style w:type="paragraph" w:styleId="Zpat">
    <w:name w:val="footer"/>
    <w:basedOn w:val="Normln"/>
    <w:link w:val="ZpatChar"/>
    <w:uiPriority w:val="99"/>
    <w:unhideWhenUsed/>
    <w:rsid w:val="00F2068A"/>
    <w:pPr>
      <w:tabs>
        <w:tab w:val="center" w:pos="4536"/>
        <w:tab w:val="right" w:pos="9072"/>
      </w:tabs>
    </w:pPr>
  </w:style>
  <w:style w:type="character" w:customStyle="1" w:styleId="ZpatChar">
    <w:name w:val="Zápatí Char"/>
    <w:basedOn w:val="Standardnpsmoodstavce"/>
    <w:link w:val="Zpat"/>
    <w:uiPriority w:val="99"/>
    <w:rsid w:val="00F2068A"/>
    <w:rPr>
      <w:rFonts w:ascii="Times New Roman" w:eastAsia="Times New Roman" w:hAnsi="Times New Roman" w:cs="Times New Roman"/>
      <w:sz w:val="24"/>
      <w:szCs w:val="24"/>
      <w:lang w:eastAsia="cs-CZ"/>
    </w:rPr>
  </w:style>
  <w:style w:type="character" w:styleId="Hypertextovodkaz">
    <w:name w:val="Hyperlink"/>
    <w:uiPriority w:val="99"/>
    <w:rsid w:val="00625DE3"/>
    <w:rPr>
      <w:rFonts w:cs="Times New Roman"/>
      <w:color w:val="0000FF"/>
      <w:u w:val="single"/>
    </w:rPr>
  </w:style>
  <w:style w:type="character" w:customStyle="1" w:styleId="cpvselected1">
    <w:name w:val="cpvselected1"/>
    <w:basedOn w:val="Standardnpsmoodstavce"/>
    <w:rsid w:val="003718CD"/>
    <w:rPr>
      <w:color w:val="FF0000"/>
    </w:rPr>
  </w:style>
  <w:style w:type="paragraph" w:customStyle="1" w:styleId="Standard">
    <w:name w:val="Standard"/>
    <w:rsid w:val="00280819"/>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character" w:styleId="Odkaznakoment">
    <w:name w:val="annotation reference"/>
    <w:basedOn w:val="Standardnpsmoodstavce"/>
    <w:uiPriority w:val="99"/>
    <w:semiHidden/>
    <w:unhideWhenUsed/>
    <w:rsid w:val="009B3308"/>
    <w:rPr>
      <w:sz w:val="16"/>
      <w:szCs w:val="16"/>
    </w:rPr>
  </w:style>
  <w:style w:type="paragraph" w:styleId="Textkomente">
    <w:name w:val="annotation text"/>
    <w:basedOn w:val="Normln"/>
    <w:link w:val="TextkomenteChar"/>
    <w:uiPriority w:val="99"/>
    <w:semiHidden/>
    <w:unhideWhenUsed/>
    <w:rsid w:val="009B3308"/>
    <w:rPr>
      <w:sz w:val="20"/>
      <w:szCs w:val="20"/>
    </w:rPr>
  </w:style>
  <w:style w:type="character" w:customStyle="1" w:styleId="TextkomenteChar">
    <w:name w:val="Text komentáře Char"/>
    <w:basedOn w:val="Standardnpsmoodstavce"/>
    <w:link w:val="Textkomente"/>
    <w:uiPriority w:val="99"/>
    <w:semiHidden/>
    <w:rsid w:val="009B330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3308"/>
    <w:rPr>
      <w:b/>
      <w:bCs/>
    </w:rPr>
  </w:style>
  <w:style w:type="character" w:customStyle="1" w:styleId="PedmtkomenteChar">
    <w:name w:val="Předmět komentáře Char"/>
    <w:basedOn w:val="TextkomenteChar"/>
    <w:link w:val="Pedmtkomente"/>
    <w:uiPriority w:val="99"/>
    <w:semiHidden/>
    <w:rsid w:val="009B330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B33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3308"/>
    <w:rPr>
      <w:rFonts w:ascii="Segoe UI" w:eastAsia="Times New Roman" w:hAnsi="Segoe UI" w:cs="Segoe UI"/>
      <w:sz w:val="18"/>
      <w:szCs w:val="18"/>
      <w:lang w:eastAsia="cs-CZ"/>
    </w:rPr>
  </w:style>
  <w:style w:type="paragraph" w:styleId="Zkladntext">
    <w:name w:val="Body Text"/>
    <w:basedOn w:val="Normln"/>
    <w:link w:val="ZkladntextChar"/>
    <w:uiPriority w:val="99"/>
    <w:rsid w:val="00723BE1"/>
    <w:pPr>
      <w:widowControl w:val="0"/>
      <w:spacing w:after="120"/>
      <w:jc w:val="both"/>
    </w:pPr>
    <w:rPr>
      <w:rFonts w:ascii="Arial" w:hAnsi="Arial"/>
      <w:sz w:val="20"/>
      <w:szCs w:val="20"/>
    </w:rPr>
  </w:style>
  <w:style w:type="character" w:customStyle="1" w:styleId="ZkladntextChar">
    <w:name w:val="Základní text Char"/>
    <w:basedOn w:val="Standardnpsmoodstavce"/>
    <w:link w:val="Zkladntext"/>
    <w:uiPriority w:val="99"/>
    <w:rsid w:val="00723BE1"/>
    <w:rPr>
      <w:rFonts w:ascii="Arial" w:eastAsia="Times New Roman" w:hAnsi="Arial" w:cs="Times New Roman"/>
      <w:sz w:val="20"/>
      <w:szCs w:val="20"/>
      <w:lang w:eastAsia="cs-CZ"/>
    </w:rPr>
  </w:style>
  <w:style w:type="character" w:customStyle="1" w:styleId="Nevyeenzmnka1">
    <w:name w:val="Nevyřešená zmínka1"/>
    <w:basedOn w:val="Standardnpsmoodstavce"/>
    <w:uiPriority w:val="99"/>
    <w:semiHidden/>
    <w:unhideWhenUsed/>
    <w:rsid w:val="00723BE1"/>
    <w:rPr>
      <w:color w:val="808080"/>
      <w:shd w:val="clear" w:color="auto" w:fill="E6E6E6"/>
    </w:rPr>
  </w:style>
  <w:style w:type="character" w:customStyle="1" w:styleId="Nadpis2Char">
    <w:name w:val="Nadpis 2 Char"/>
    <w:basedOn w:val="Standardnpsmoodstavce"/>
    <w:link w:val="Nadpis2"/>
    <w:uiPriority w:val="9"/>
    <w:semiHidden/>
    <w:rsid w:val="005B547A"/>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5E30-434E-478F-ABB2-DA3AF0D6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2914</Words>
  <Characters>17198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Bartíková</dc:creator>
  <cp:lastModifiedBy>Papoušek Michal (Magistrát města Brna)</cp:lastModifiedBy>
  <cp:revision>4</cp:revision>
  <dcterms:created xsi:type="dcterms:W3CDTF">2018-06-14T10:57:00Z</dcterms:created>
  <dcterms:modified xsi:type="dcterms:W3CDTF">2018-06-14T12:18:00Z</dcterms:modified>
</cp:coreProperties>
</file>